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E53CA" w14:textId="55509676" w:rsidR="000A3588" w:rsidRPr="0067252B" w:rsidRDefault="000A3588" w:rsidP="001D3AC7">
      <w:pPr>
        <w:spacing w:after="120" w:line="240" w:lineRule="auto"/>
        <w:jc w:val="center"/>
        <w:rPr>
          <w:rFonts w:cs="Arial"/>
          <w:sz w:val="44"/>
          <w:szCs w:val="44"/>
          <w:lang w:val="da-DK"/>
        </w:rPr>
      </w:pPr>
    </w:p>
    <w:p w14:paraId="2E7CAEC7" w14:textId="77777777" w:rsidR="0067252B" w:rsidRPr="0067252B" w:rsidRDefault="0067252B" w:rsidP="001D3AC7">
      <w:pPr>
        <w:spacing w:after="120" w:line="240" w:lineRule="auto"/>
        <w:jc w:val="center"/>
        <w:rPr>
          <w:rFonts w:cs="Arial"/>
          <w:sz w:val="44"/>
          <w:szCs w:val="44"/>
          <w:lang w:val="da-DK"/>
        </w:rPr>
      </w:pPr>
    </w:p>
    <w:p w14:paraId="2C331282" w14:textId="0FA912C6" w:rsidR="0067252B" w:rsidRPr="0067252B" w:rsidRDefault="0067252B" w:rsidP="001D3AC7">
      <w:pPr>
        <w:spacing w:after="120" w:line="240" w:lineRule="auto"/>
        <w:jc w:val="center"/>
        <w:rPr>
          <w:rFonts w:cs="Arial"/>
          <w:sz w:val="44"/>
          <w:szCs w:val="44"/>
          <w:lang w:val="da-DK"/>
        </w:rPr>
      </w:pPr>
      <w:r w:rsidRPr="0067252B">
        <w:rPr>
          <w:rFonts w:cs="Arial"/>
          <w:noProof/>
          <w:sz w:val="44"/>
          <w:szCs w:val="44"/>
          <w:lang w:val="da-DK"/>
        </w:rPr>
        <w:drawing>
          <wp:inline distT="0" distB="0" distL="0" distR="0" wp14:anchorId="6441EA9A" wp14:editId="2F488AA1">
            <wp:extent cx="5400000" cy="1869503"/>
            <wp:effectExtent l="0" t="0" r="0" b="0"/>
            <wp:docPr id="1578215523"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215523" name="Picture 1" descr="A blue and white logo&#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00" cy="1869503"/>
                    </a:xfrm>
                    <a:prstGeom prst="rect">
                      <a:avLst/>
                    </a:prstGeom>
                    <a:noFill/>
                  </pic:spPr>
                </pic:pic>
              </a:graphicData>
            </a:graphic>
          </wp:inline>
        </w:drawing>
      </w:r>
    </w:p>
    <w:p w14:paraId="583B55DF" w14:textId="77777777" w:rsidR="0067252B" w:rsidRDefault="0067252B" w:rsidP="001D3AC7">
      <w:pPr>
        <w:spacing w:after="120" w:line="240" w:lineRule="auto"/>
        <w:jc w:val="center"/>
        <w:rPr>
          <w:rFonts w:cs="Arial"/>
          <w:sz w:val="44"/>
          <w:szCs w:val="44"/>
          <w:lang w:val="da-DK"/>
        </w:rPr>
      </w:pPr>
    </w:p>
    <w:p w14:paraId="5E617BFA" w14:textId="77777777" w:rsidR="0069542E" w:rsidRPr="0067252B" w:rsidRDefault="0069542E" w:rsidP="001D3AC7">
      <w:pPr>
        <w:spacing w:after="120" w:line="240" w:lineRule="auto"/>
        <w:jc w:val="center"/>
        <w:rPr>
          <w:rFonts w:cs="Arial"/>
          <w:sz w:val="44"/>
          <w:szCs w:val="44"/>
          <w:lang w:val="da-DK"/>
        </w:rPr>
      </w:pPr>
    </w:p>
    <w:p w14:paraId="18F0AA50" w14:textId="6D8E4D66" w:rsidR="0067252B" w:rsidRPr="00201864" w:rsidRDefault="3D022C6D" w:rsidP="001D3AC7">
      <w:pPr>
        <w:spacing w:after="120" w:line="240" w:lineRule="auto"/>
        <w:jc w:val="center"/>
        <w:rPr>
          <w:rFonts w:cs="Arial"/>
          <w:b/>
          <w:bCs/>
          <w:sz w:val="44"/>
          <w:szCs w:val="44"/>
        </w:rPr>
      </w:pPr>
      <w:r w:rsidRPr="0B9E13D9">
        <w:rPr>
          <w:rFonts w:cs="Arial"/>
          <w:b/>
          <w:bCs/>
          <w:sz w:val="44"/>
          <w:szCs w:val="44"/>
        </w:rPr>
        <w:t xml:space="preserve">SUSTAINABILITY-LINKED </w:t>
      </w:r>
      <w:r>
        <w:br/>
      </w:r>
      <w:r w:rsidRPr="0B9E13D9">
        <w:rPr>
          <w:rFonts w:cs="Arial"/>
          <w:b/>
          <w:bCs/>
          <w:sz w:val="44"/>
          <w:szCs w:val="44"/>
        </w:rPr>
        <w:t>LOAN F</w:t>
      </w:r>
      <w:r w:rsidR="6B9EF104" w:rsidRPr="0B9E13D9">
        <w:rPr>
          <w:rFonts w:cs="Arial"/>
          <w:b/>
          <w:bCs/>
          <w:sz w:val="44"/>
          <w:szCs w:val="44"/>
        </w:rPr>
        <w:t>INANCING</w:t>
      </w:r>
      <w:r w:rsidRPr="0B9E13D9">
        <w:rPr>
          <w:rFonts w:cs="Arial"/>
          <w:b/>
          <w:bCs/>
          <w:sz w:val="44"/>
          <w:szCs w:val="44"/>
        </w:rPr>
        <w:t xml:space="preserve"> BOND </w:t>
      </w:r>
      <w:r>
        <w:br/>
      </w:r>
      <w:r w:rsidRPr="0B9E13D9">
        <w:rPr>
          <w:rFonts w:cs="Arial"/>
          <w:b/>
          <w:bCs/>
          <w:sz w:val="44"/>
          <w:szCs w:val="44"/>
        </w:rPr>
        <w:t>2025</w:t>
      </w:r>
    </w:p>
    <w:p w14:paraId="2268FAA2" w14:textId="77777777" w:rsidR="0067252B" w:rsidRDefault="0067252B" w:rsidP="001D3AC7">
      <w:pPr>
        <w:spacing w:after="120" w:line="240" w:lineRule="auto"/>
        <w:jc w:val="center"/>
        <w:rPr>
          <w:rFonts w:cs="Arial"/>
          <w:sz w:val="44"/>
          <w:szCs w:val="44"/>
        </w:rPr>
      </w:pPr>
    </w:p>
    <w:p w14:paraId="7C4ECA98" w14:textId="5649BB29" w:rsidR="74A97ED8" w:rsidRDefault="74A97ED8" w:rsidP="0B9E13D9">
      <w:pPr>
        <w:spacing w:after="120" w:line="240" w:lineRule="auto"/>
        <w:jc w:val="center"/>
      </w:pPr>
      <w:r w:rsidRPr="0B9E13D9">
        <w:rPr>
          <w:rFonts w:cs="Arial"/>
          <w:sz w:val="40"/>
          <w:szCs w:val="40"/>
        </w:rPr>
        <w:t>Q&amp;A</w:t>
      </w:r>
    </w:p>
    <w:p w14:paraId="35924593" w14:textId="4783FAA2" w:rsidR="0067252B" w:rsidRDefault="0067252B" w:rsidP="001D3AC7">
      <w:pPr>
        <w:spacing w:after="120" w:line="240" w:lineRule="auto"/>
        <w:rPr>
          <w:rFonts w:cs="Arial"/>
          <w:sz w:val="44"/>
          <w:szCs w:val="44"/>
        </w:rPr>
      </w:pPr>
      <w:r>
        <w:rPr>
          <w:rFonts w:cs="Arial"/>
          <w:sz w:val="44"/>
          <w:szCs w:val="44"/>
        </w:rPr>
        <w:br w:type="page"/>
      </w:r>
    </w:p>
    <w:sdt>
      <w:sdtPr>
        <w:rPr>
          <w:rFonts w:asciiTheme="minorHAnsi" w:eastAsiaTheme="minorEastAsia" w:hAnsiTheme="minorHAnsi" w:cs="Mangal"/>
          <w:color w:val="auto"/>
          <w:sz w:val="22"/>
          <w:szCs w:val="22"/>
          <w:lang w:bidi="hi-IN"/>
        </w:rPr>
        <w:id w:val="233833191"/>
        <w:docPartObj>
          <w:docPartGallery w:val="Table of Contents"/>
          <w:docPartUnique/>
        </w:docPartObj>
      </w:sdtPr>
      <w:sdtEndPr>
        <w:rPr>
          <w:b/>
          <w:bCs/>
          <w:noProof/>
        </w:rPr>
      </w:sdtEndPr>
      <w:sdtContent>
        <w:p w14:paraId="3955D0F6" w14:textId="37F47BF3" w:rsidR="004A2A98" w:rsidRPr="00B42419" w:rsidRDefault="004A2A98" w:rsidP="001D3AC7">
          <w:pPr>
            <w:pStyle w:val="TOCHeading"/>
            <w:spacing w:before="0" w:after="120" w:line="240" w:lineRule="auto"/>
            <w:rPr>
              <w:b/>
              <w:bCs/>
              <w:sz w:val="28"/>
              <w:szCs w:val="28"/>
              <w:lang w:bidi="hi-IN"/>
            </w:rPr>
          </w:pPr>
          <w:r w:rsidRPr="00B42419">
            <w:rPr>
              <w:b/>
              <w:bCs/>
              <w:sz w:val="28"/>
              <w:szCs w:val="28"/>
              <w:lang w:bidi="hi-IN"/>
            </w:rPr>
            <w:t>Contents</w:t>
          </w:r>
        </w:p>
        <w:p w14:paraId="2118FBFD" w14:textId="0083ACA1" w:rsidR="0005254F" w:rsidRPr="0005254F" w:rsidRDefault="004A2A98">
          <w:pPr>
            <w:pStyle w:val="TOC2"/>
            <w:tabs>
              <w:tab w:val="right" w:leader="dot" w:pos="9350"/>
            </w:tabs>
            <w:rPr>
              <w:rFonts w:eastAsiaTheme="minorEastAsia" w:cstheme="minorBidi"/>
              <w:noProof/>
              <w:kern w:val="2"/>
              <w:sz w:val="24"/>
              <w:szCs w:val="24"/>
              <w:lang w:val="en-FI" w:eastAsia="en-FI" w:bidi="ar-SA"/>
              <w14:ligatures w14:val="standardContextual"/>
            </w:rPr>
          </w:pPr>
          <w:r w:rsidRPr="0005254F">
            <w:fldChar w:fldCharType="begin"/>
          </w:r>
          <w:r w:rsidRPr="0005254F">
            <w:instrText xml:space="preserve"> TOC \o "1-3" \h \z \u </w:instrText>
          </w:r>
          <w:r w:rsidRPr="0005254F">
            <w:fldChar w:fldCharType="separate"/>
          </w:r>
          <w:hyperlink w:anchor="_Toc209168285" w:history="1">
            <w:r w:rsidR="0005254F" w:rsidRPr="0005254F">
              <w:rPr>
                <w:rStyle w:val="Hyperlink"/>
                <w:noProof/>
              </w:rPr>
              <w:t>Rationale and approach</w:t>
            </w:r>
            <w:r w:rsidR="0005254F" w:rsidRPr="0005254F">
              <w:rPr>
                <w:noProof/>
                <w:webHidden/>
              </w:rPr>
              <w:tab/>
            </w:r>
            <w:r w:rsidR="0005254F" w:rsidRPr="0005254F">
              <w:rPr>
                <w:noProof/>
                <w:webHidden/>
              </w:rPr>
              <w:fldChar w:fldCharType="begin"/>
            </w:r>
            <w:r w:rsidR="0005254F" w:rsidRPr="0005254F">
              <w:rPr>
                <w:noProof/>
                <w:webHidden/>
              </w:rPr>
              <w:instrText xml:space="preserve"> PAGEREF _Toc209168285 \h </w:instrText>
            </w:r>
            <w:r w:rsidR="0005254F" w:rsidRPr="0005254F">
              <w:rPr>
                <w:noProof/>
                <w:webHidden/>
              </w:rPr>
            </w:r>
            <w:r w:rsidR="0005254F" w:rsidRPr="0005254F">
              <w:rPr>
                <w:noProof/>
                <w:webHidden/>
              </w:rPr>
              <w:fldChar w:fldCharType="separate"/>
            </w:r>
            <w:r w:rsidR="00B05FA7">
              <w:rPr>
                <w:noProof/>
                <w:webHidden/>
              </w:rPr>
              <w:t>4</w:t>
            </w:r>
            <w:r w:rsidR="0005254F" w:rsidRPr="0005254F">
              <w:rPr>
                <w:noProof/>
                <w:webHidden/>
              </w:rPr>
              <w:fldChar w:fldCharType="end"/>
            </w:r>
          </w:hyperlink>
        </w:p>
        <w:p w14:paraId="5687D4C7" w14:textId="00C26884" w:rsidR="0005254F" w:rsidRPr="0005254F" w:rsidRDefault="0005254F">
          <w:pPr>
            <w:pStyle w:val="TOC2"/>
            <w:tabs>
              <w:tab w:val="right" w:leader="dot" w:pos="9350"/>
            </w:tabs>
            <w:rPr>
              <w:rFonts w:eastAsiaTheme="minorEastAsia" w:cstheme="minorBidi"/>
              <w:noProof/>
              <w:kern w:val="2"/>
              <w:sz w:val="24"/>
              <w:szCs w:val="24"/>
              <w:lang w:val="en-FI" w:eastAsia="en-FI" w:bidi="ar-SA"/>
              <w14:ligatures w14:val="standardContextual"/>
            </w:rPr>
          </w:pPr>
          <w:hyperlink w:anchor="_Toc209168286" w:history="1">
            <w:r w:rsidRPr="0005254F">
              <w:rPr>
                <w:rStyle w:val="Hyperlink"/>
                <w:noProof/>
              </w:rPr>
              <w:t>Use of Proceeds</w:t>
            </w:r>
            <w:r w:rsidRPr="0005254F">
              <w:rPr>
                <w:noProof/>
                <w:webHidden/>
              </w:rPr>
              <w:tab/>
            </w:r>
            <w:r w:rsidRPr="0005254F">
              <w:rPr>
                <w:noProof/>
                <w:webHidden/>
              </w:rPr>
              <w:fldChar w:fldCharType="begin"/>
            </w:r>
            <w:r w:rsidRPr="0005254F">
              <w:rPr>
                <w:noProof/>
                <w:webHidden/>
              </w:rPr>
              <w:instrText xml:space="preserve"> PAGEREF _Toc209168286 \h </w:instrText>
            </w:r>
            <w:r w:rsidRPr="0005254F">
              <w:rPr>
                <w:noProof/>
                <w:webHidden/>
              </w:rPr>
            </w:r>
            <w:r w:rsidRPr="0005254F">
              <w:rPr>
                <w:noProof/>
                <w:webHidden/>
              </w:rPr>
              <w:fldChar w:fldCharType="separate"/>
            </w:r>
            <w:r w:rsidR="00B05FA7">
              <w:rPr>
                <w:noProof/>
                <w:webHidden/>
              </w:rPr>
              <w:t>5</w:t>
            </w:r>
            <w:r w:rsidRPr="0005254F">
              <w:rPr>
                <w:noProof/>
                <w:webHidden/>
              </w:rPr>
              <w:fldChar w:fldCharType="end"/>
            </w:r>
          </w:hyperlink>
        </w:p>
        <w:p w14:paraId="33FAB527" w14:textId="7D5B9E5E" w:rsidR="0005254F" w:rsidRPr="0005254F" w:rsidRDefault="0005254F">
          <w:pPr>
            <w:pStyle w:val="TOC2"/>
            <w:tabs>
              <w:tab w:val="right" w:leader="dot" w:pos="9350"/>
            </w:tabs>
            <w:rPr>
              <w:rFonts w:eastAsiaTheme="minorEastAsia" w:cstheme="minorBidi"/>
              <w:noProof/>
              <w:kern w:val="2"/>
              <w:sz w:val="24"/>
              <w:szCs w:val="24"/>
              <w:lang w:val="en-FI" w:eastAsia="en-FI" w:bidi="ar-SA"/>
              <w14:ligatures w14:val="standardContextual"/>
            </w:rPr>
          </w:pPr>
          <w:hyperlink w:anchor="_Toc209168287" w:history="1">
            <w:r w:rsidRPr="0005254F">
              <w:rPr>
                <w:rStyle w:val="Hyperlink"/>
                <w:noProof/>
              </w:rPr>
              <w:t>KPIs</w:t>
            </w:r>
            <w:r w:rsidRPr="0005254F">
              <w:rPr>
                <w:noProof/>
                <w:webHidden/>
              </w:rPr>
              <w:tab/>
            </w:r>
            <w:r w:rsidRPr="0005254F">
              <w:rPr>
                <w:noProof/>
                <w:webHidden/>
              </w:rPr>
              <w:fldChar w:fldCharType="begin"/>
            </w:r>
            <w:r w:rsidRPr="0005254F">
              <w:rPr>
                <w:noProof/>
                <w:webHidden/>
              </w:rPr>
              <w:instrText xml:space="preserve"> PAGEREF _Toc209168287 \h </w:instrText>
            </w:r>
            <w:r w:rsidRPr="0005254F">
              <w:rPr>
                <w:noProof/>
                <w:webHidden/>
              </w:rPr>
            </w:r>
            <w:r w:rsidRPr="0005254F">
              <w:rPr>
                <w:noProof/>
                <w:webHidden/>
              </w:rPr>
              <w:fldChar w:fldCharType="separate"/>
            </w:r>
            <w:r w:rsidR="00B05FA7">
              <w:rPr>
                <w:noProof/>
                <w:webHidden/>
              </w:rPr>
              <w:t>7</w:t>
            </w:r>
            <w:r w:rsidRPr="0005254F">
              <w:rPr>
                <w:noProof/>
                <w:webHidden/>
              </w:rPr>
              <w:fldChar w:fldCharType="end"/>
            </w:r>
          </w:hyperlink>
        </w:p>
        <w:p w14:paraId="3404715C" w14:textId="69DBF0AF" w:rsidR="0005254F" w:rsidRPr="0005254F" w:rsidRDefault="0005254F">
          <w:pPr>
            <w:pStyle w:val="TOC2"/>
            <w:tabs>
              <w:tab w:val="right" w:leader="dot" w:pos="9350"/>
            </w:tabs>
            <w:rPr>
              <w:rFonts w:eastAsiaTheme="minorEastAsia" w:cstheme="minorBidi"/>
              <w:noProof/>
              <w:kern w:val="2"/>
              <w:sz w:val="24"/>
              <w:szCs w:val="24"/>
              <w:lang w:val="en-FI" w:eastAsia="en-FI" w:bidi="ar-SA"/>
              <w14:ligatures w14:val="standardContextual"/>
            </w:rPr>
          </w:pPr>
          <w:hyperlink w:anchor="_Toc209168288" w:history="1">
            <w:r w:rsidRPr="0005254F">
              <w:rPr>
                <w:rStyle w:val="Hyperlink"/>
                <w:noProof/>
              </w:rPr>
              <w:t>Trigger dates</w:t>
            </w:r>
            <w:r w:rsidRPr="0005254F">
              <w:rPr>
                <w:noProof/>
                <w:webHidden/>
              </w:rPr>
              <w:tab/>
            </w:r>
            <w:r w:rsidRPr="0005254F">
              <w:rPr>
                <w:noProof/>
                <w:webHidden/>
              </w:rPr>
              <w:fldChar w:fldCharType="begin"/>
            </w:r>
            <w:r w:rsidRPr="0005254F">
              <w:rPr>
                <w:noProof/>
                <w:webHidden/>
              </w:rPr>
              <w:instrText xml:space="preserve"> PAGEREF _Toc209168288 \h </w:instrText>
            </w:r>
            <w:r w:rsidRPr="0005254F">
              <w:rPr>
                <w:noProof/>
                <w:webHidden/>
              </w:rPr>
            </w:r>
            <w:r w:rsidRPr="0005254F">
              <w:rPr>
                <w:noProof/>
                <w:webHidden/>
              </w:rPr>
              <w:fldChar w:fldCharType="separate"/>
            </w:r>
            <w:r w:rsidR="00B05FA7">
              <w:rPr>
                <w:noProof/>
                <w:webHidden/>
              </w:rPr>
              <w:t>8</w:t>
            </w:r>
            <w:r w:rsidRPr="0005254F">
              <w:rPr>
                <w:noProof/>
                <w:webHidden/>
              </w:rPr>
              <w:fldChar w:fldCharType="end"/>
            </w:r>
          </w:hyperlink>
        </w:p>
        <w:p w14:paraId="297DA83F" w14:textId="56B7805F" w:rsidR="0005254F" w:rsidRPr="0005254F" w:rsidRDefault="0005254F">
          <w:pPr>
            <w:pStyle w:val="TOC2"/>
            <w:tabs>
              <w:tab w:val="right" w:leader="dot" w:pos="9350"/>
            </w:tabs>
            <w:rPr>
              <w:rFonts w:eastAsiaTheme="minorEastAsia" w:cstheme="minorBidi"/>
              <w:noProof/>
              <w:kern w:val="2"/>
              <w:sz w:val="24"/>
              <w:szCs w:val="24"/>
              <w:lang w:val="en-FI" w:eastAsia="en-FI" w:bidi="ar-SA"/>
              <w14:ligatures w14:val="standardContextual"/>
            </w:rPr>
          </w:pPr>
          <w:hyperlink w:anchor="_Toc209168289" w:history="1">
            <w:r w:rsidRPr="0005254F">
              <w:rPr>
                <w:rStyle w:val="Hyperlink"/>
                <w:noProof/>
              </w:rPr>
              <w:t>External verification</w:t>
            </w:r>
            <w:r w:rsidRPr="0005254F">
              <w:rPr>
                <w:noProof/>
                <w:webHidden/>
              </w:rPr>
              <w:tab/>
            </w:r>
            <w:r w:rsidRPr="0005254F">
              <w:rPr>
                <w:noProof/>
                <w:webHidden/>
              </w:rPr>
              <w:fldChar w:fldCharType="begin"/>
            </w:r>
            <w:r w:rsidRPr="0005254F">
              <w:rPr>
                <w:noProof/>
                <w:webHidden/>
              </w:rPr>
              <w:instrText xml:space="preserve"> PAGEREF _Toc209168289 \h </w:instrText>
            </w:r>
            <w:r w:rsidRPr="0005254F">
              <w:rPr>
                <w:noProof/>
                <w:webHidden/>
              </w:rPr>
            </w:r>
            <w:r w:rsidRPr="0005254F">
              <w:rPr>
                <w:noProof/>
                <w:webHidden/>
              </w:rPr>
              <w:fldChar w:fldCharType="separate"/>
            </w:r>
            <w:r w:rsidR="00B05FA7">
              <w:rPr>
                <w:noProof/>
                <w:webHidden/>
              </w:rPr>
              <w:t>9</w:t>
            </w:r>
            <w:r w:rsidRPr="0005254F">
              <w:rPr>
                <w:noProof/>
                <w:webHidden/>
              </w:rPr>
              <w:fldChar w:fldCharType="end"/>
            </w:r>
          </w:hyperlink>
        </w:p>
        <w:p w14:paraId="54AC39D9" w14:textId="0B440FCA" w:rsidR="0005254F" w:rsidRPr="0005254F" w:rsidRDefault="0005254F">
          <w:pPr>
            <w:pStyle w:val="TOC2"/>
            <w:tabs>
              <w:tab w:val="right" w:leader="dot" w:pos="9350"/>
            </w:tabs>
            <w:rPr>
              <w:rFonts w:eastAsiaTheme="minorEastAsia" w:cstheme="minorBidi"/>
              <w:noProof/>
              <w:kern w:val="2"/>
              <w:sz w:val="24"/>
              <w:szCs w:val="24"/>
              <w:lang w:val="en-FI" w:eastAsia="en-FI" w:bidi="ar-SA"/>
              <w14:ligatures w14:val="standardContextual"/>
            </w:rPr>
          </w:pPr>
          <w:hyperlink w:anchor="_Toc209168290" w:history="1">
            <w:r w:rsidRPr="0005254F">
              <w:rPr>
                <w:rStyle w:val="Hyperlink"/>
                <w:noProof/>
              </w:rPr>
              <w:t>Process for SLL Evaluation and Selection</w:t>
            </w:r>
            <w:r w:rsidRPr="0005254F">
              <w:rPr>
                <w:noProof/>
                <w:webHidden/>
              </w:rPr>
              <w:tab/>
            </w:r>
            <w:r w:rsidRPr="0005254F">
              <w:rPr>
                <w:noProof/>
                <w:webHidden/>
              </w:rPr>
              <w:fldChar w:fldCharType="begin"/>
            </w:r>
            <w:r w:rsidRPr="0005254F">
              <w:rPr>
                <w:noProof/>
                <w:webHidden/>
              </w:rPr>
              <w:instrText xml:space="preserve"> PAGEREF _Toc209168290 \h </w:instrText>
            </w:r>
            <w:r w:rsidRPr="0005254F">
              <w:rPr>
                <w:noProof/>
                <w:webHidden/>
              </w:rPr>
            </w:r>
            <w:r w:rsidRPr="0005254F">
              <w:rPr>
                <w:noProof/>
                <w:webHidden/>
              </w:rPr>
              <w:fldChar w:fldCharType="separate"/>
            </w:r>
            <w:r w:rsidR="00B05FA7">
              <w:rPr>
                <w:noProof/>
                <w:webHidden/>
              </w:rPr>
              <w:t>9</w:t>
            </w:r>
            <w:r w:rsidRPr="0005254F">
              <w:rPr>
                <w:noProof/>
                <w:webHidden/>
              </w:rPr>
              <w:fldChar w:fldCharType="end"/>
            </w:r>
          </w:hyperlink>
        </w:p>
        <w:p w14:paraId="6E34262D" w14:textId="2489B82C" w:rsidR="0005254F" w:rsidRPr="0005254F" w:rsidRDefault="0005254F">
          <w:pPr>
            <w:pStyle w:val="TOC2"/>
            <w:tabs>
              <w:tab w:val="right" w:leader="dot" w:pos="9350"/>
            </w:tabs>
            <w:rPr>
              <w:rFonts w:eastAsiaTheme="minorEastAsia" w:cstheme="minorBidi"/>
              <w:noProof/>
              <w:kern w:val="2"/>
              <w:sz w:val="24"/>
              <w:szCs w:val="24"/>
              <w:lang w:val="en-FI" w:eastAsia="en-FI" w:bidi="ar-SA"/>
              <w14:ligatures w14:val="standardContextual"/>
            </w:rPr>
          </w:pPr>
          <w:hyperlink w:anchor="_Toc209168291" w:history="1">
            <w:r w:rsidRPr="0005254F">
              <w:rPr>
                <w:rStyle w:val="Hyperlink"/>
                <w:noProof/>
              </w:rPr>
              <w:t>Management of Proceeds</w:t>
            </w:r>
            <w:r w:rsidRPr="0005254F">
              <w:rPr>
                <w:noProof/>
                <w:webHidden/>
              </w:rPr>
              <w:tab/>
            </w:r>
            <w:r w:rsidRPr="0005254F">
              <w:rPr>
                <w:noProof/>
                <w:webHidden/>
              </w:rPr>
              <w:fldChar w:fldCharType="begin"/>
            </w:r>
            <w:r w:rsidRPr="0005254F">
              <w:rPr>
                <w:noProof/>
                <w:webHidden/>
              </w:rPr>
              <w:instrText xml:space="preserve"> PAGEREF _Toc209168291 \h </w:instrText>
            </w:r>
            <w:r w:rsidRPr="0005254F">
              <w:rPr>
                <w:noProof/>
                <w:webHidden/>
              </w:rPr>
            </w:r>
            <w:r w:rsidRPr="0005254F">
              <w:rPr>
                <w:noProof/>
                <w:webHidden/>
              </w:rPr>
              <w:fldChar w:fldCharType="separate"/>
            </w:r>
            <w:r w:rsidR="00B05FA7">
              <w:rPr>
                <w:noProof/>
                <w:webHidden/>
              </w:rPr>
              <w:t>10</w:t>
            </w:r>
            <w:r w:rsidRPr="0005254F">
              <w:rPr>
                <w:noProof/>
                <w:webHidden/>
              </w:rPr>
              <w:fldChar w:fldCharType="end"/>
            </w:r>
          </w:hyperlink>
        </w:p>
        <w:p w14:paraId="61A97F36" w14:textId="753900A5" w:rsidR="0005254F" w:rsidRPr="0005254F" w:rsidRDefault="0005254F">
          <w:pPr>
            <w:pStyle w:val="TOC2"/>
            <w:tabs>
              <w:tab w:val="right" w:leader="dot" w:pos="9350"/>
            </w:tabs>
            <w:rPr>
              <w:rFonts w:eastAsiaTheme="minorEastAsia" w:cstheme="minorBidi"/>
              <w:noProof/>
              <w:kern w:val="2"/>
              <w:sz w:val="24"/>
              <w:szCs w:val="24"/>
              <w:lang w:val="en-FI" w:eastAsia="en-FI" w:bidi="ar-SA"/>
              <w14:ligatures w14:val="standardContextual"/>
            </w:rPr>
          </w:pPr>
          <w:hyperlink w:anchor="_Toc209168292" w:history="1">
            <w:r w:rsidRPr="0005254F">
              <w:rPr>
                <w:rStyle w:val="Hyperlink"/>
                <w:noProof/>
              </w:rPr>
              <w:t>Reporting</w:t>
            </w:r>
            <w:r w:rsidRPr="0005254F">
              <w:rPr>
                <w:noProof/>
                <w:webHidden/>
              </w:rPr>
              <w:tab/>
            </w:r>
            <w:r w:rsidRPr="0005254F">
              <w:rPr>
                <w:noProof/>
                <w:webHidden/>
              </w:rPr>
              <w:fldChar w:fldCharType="begin"/>
            </w:r>
            <w:r w:rsidRPr="0005254F">
              <w:rPr>
                <w:noProof/>
                <w:webHidden/>
              </w:rPr>
              <w:instrText xml:space="preserve"> PAGEREF _Toc209168292 \h </w:instrText>
            </w:r>
            <w:r w:rsidRPr="0005254F">
              <w:rPr>
                <w:noProof/>
                <w:webHidden/>
              </w:rPr>
            </w:r>
            <w:r w:rsidRPr="0005254F">
              <w:rPr>
                <w:noProof/>
                <w:webHidden/>
              </w:rPr>
              <w:fldChar w:fldCharType="separate"/>
            </w:r>
            <w:r w:rsidR="00B05FA7">
              <w:rPr>
                <w:noProof/>
                <w:webHidden/>
              </w:rPr>
              <w:t>11</w:t>
            </w:r>
            <w:r w:rsidRPr="0005254F">
              <w:rPr>
                <w:noProof/>
                <w:webHidden/>
              </w:rPr>
              <w:fldChar w:fldCharType="end"/>
            </w:r>
          </w:hyperlink>
        </w:p>
        <w:p w14:paraId="3E8225FD" w14:textId="2FFE90F2" w:rsidR="0005254F" w:rsidRPr="0005254F" w:rsidRDefault="0005254F">
          <w:pPr>
            <w:pStyle w:val="TOC2"/>
            <w:tabs>
              <w:tab w:val="right" w:leader="dot" w:pos="9350"/>
            </w:tabs>
            <w:rPr>
              <w:rFonts w:eastAsiaTheme="minorEastAsia" w:cstheme="minorBidi"/>
              <w:noProof/>
              <w:kern w:val="2"/>
              <w:sz w:val="24"/>
              <w:szCs w:val="24"/>
              <w:lang w:val="en-FI" w:eastAsia="en-FI" w:bidi="ar-SA"/>
              <w14:ligatures w14:val="standardContextual"/>
            </w:rPr>
          </w:pPr>
          <w:hyperlink w:anchor="_Toc209168293" w:history="1">
            <w:r w:rsidRPr="0005254F">
              <w:rPr>
                <w:rStyle w:val="Hyperlink"/>
                <w:noProof/>
              </w:rPr>
              <w:t>NIB’s operations</w:t>
            </w:r>
            <w:r w:rsidRPr="0005254F">
              <w:rPr>
                <w:noProof/>
                <w:webHidden/>
              </w:rPr>
              <w:tab/>
            </w:r>
            <w:r w:rsidRPr="0005254F">
              <w:rPr>
                <w:noProof/>
                <w:webHidden/>
              </w:rPr>
              <w:fldChar w:fldCharType="begin"/>
            </w:r>
            <w:r w:rsidRPr="0005254F">
              <w:rPr>
                <w:noProof/>
                <w:webHidden/>
              </w:rPr>
              <w:instrText xml:space="preserve"> PAGEREF _Toc209168293 \h </w:instrText>
            </w:r>
            <w:r w:rsidRPr="0005254F">
              <w:rPr>
                <w:noProof/>
                <w:webHidden/>
              </w:rPr>
            </w:r>
            <w:r w:rsidRPr="0005254F">
              <w:rPr>
                <w:noProof/>
                <w:webHidden/>
              </w:rPr>
              <w:fldChar w:fldCharType="separate"/>
            </w:r>
            <w:r w:rsidR="00B05FA7">
              <w:rPr>
                <w:noProof/>
                <w:webHidden/>
              </w:rPr>
              <w:t>11</w:t>
            </w:r>
            <w:r w:rsidRPr="0005254F">
              <w:rPr>
                <w:noProof/>
                <w:webHidden/>
              </w:rPr>
              <w:fldChar w:fldCharType="end"/>
            </w:r>
          </w:hyperlink>
        </w:p>
        <w:p w14:paraId="2C3E3766" w14:textId="21F83FEA" w:rsidR="004A2A98" w:rsidRDefault="004A2A98" w:rsidP="001D3AC7">
          <w:pPr>
            <w:spacing w:after="120" w:line="240" w:lineRule="auto"/>
          </w:pPr>
          <w:r w:rsidRPr="0005254F">
            <w:rPr>
              <w:noProof/>
            </w:rPr>
            <w:fldChar w:fldCharType="end"/>
          </w:r>
        </w:p>
      </w:sdtContent>
    </w:sdt>
    <w:p w14:paraId="6990F2B7" w14:textId="77777777" w:rsidR="00B33A75" w:rsidRDefault="00B33A75" w:rsidP="001D3AC7">
      <w:pPr>
        <w:spacing w:after="120" w:line="240" w:lineRule="auto"/>
        <w:rPr>
          <w:rFonts w:cs="Arial"/>
          <w:b/>
          <w:bCs/>
          <w:szCs w:val="22"/>
        </w:rPr>
      </w:pPr>
    </w:p>
    <w:p w14:paraId="68CCD1FB" w14:textId="77777777" w:rsidR="00B33A75" w:rsidRDefault="00B33A75" w:rsidP="001D3AC7">
      <w:pPr>
        <w:spacing w:after="120" w:line="240" w:lineRule="auto"/>
        <w:rPr>
          <w:rFonts w:cs="Arial"/>
          <w:b/>
          <w:bCs/>
          <w:szCs w:val="22"/>
        </w:rPr>
      </w:pPr>
      <w:r>
        <w:rPr>
          <w:rFonts w:cs="Arial"/>
          <w:b/>
          <w:bCs/>
          <w:szCs w:val="22"/>
        </w:rPr>
        <w:br w:type="page"/>
      </w:r>
    </w:p>
    <w:p w14:paraId="1AA6273B" w14:textId="7A0446CD" w:rsidR="00A22CE9" w:rsidRPr="00D943B2" w:rsidRDefault="00A22CE9" w:rsidP="00D943B2">
      <w:pPr>
        <w:shd w:val="clear" w:color="auto" w:fill="156082" w:themeFill="accent1"/>
        <w:spacing w:after="120" w:line="240" w:lineRule="auto"/>
        <w:rPr>
          <w:rFonts w:asciiTheme="majorHAnsi" w:eastAsiaTheme="majorEastAsia" w:hAnsiTheme="majorHAnsi" w:cstheme="majorBidi"/>
          <w:b/>
          <w:bCs/>
          <w:color w:val="FFFFFF" w:themeColor="background1"/>
          <w:sz w:val="28"/>
          <w:szCs w:val="28"/>
        </w:rPr>
      </w:pPr>
      <w:r w:rsidRPr="00D943B2">
        <w:rPr>
          <w:rFonts w:asciiTheme="majorHAnsi" w:eastAsiaTheme="majorEastAsia" w:hAnsiTheme="majorHAnsi" w:cstheme="majorBidi"/>
          <w:b/>
          <w:bCs/>
          <w:color w:val="FFFFFF" w:themeColor="background1"/>
          <w:sz w:val="28"/>
          <w:szCs w:val="28"/>
        </w:rPr>
        <w:t>Abbreviations</w:t>
      </w:r>
      <w:r w:rsidRPr="00D943B2">
        <w:rPr>
          <w:b/>
          <w:bCs/>
          <w:color w:val="FFFFFF" w:themeColor="background1"/>
          <w:sz w:val="28"/>
          <w:szCs w:val="28"/>
        </w:rPr>
        <w:t xml:space="preserve"> </w:t>
      </w:r>
      <w:r w:rsidRPr="00D943B2">
        <w:rPr>
          <w:rFonts w:asciiTheme="majorHAnsi" w:eastAsiaTheme="majorEastAsia" w:hAnsiTheme="majorHAnsi" w:cstheme="majorBidi"/>
          <w:b/>
          <w:bCs/>
          <w:color w:val="FFFFFF" w:themeColor="background1"/>
          <w:sz w:val="28"/>
          <w:szCs w:val="28"/>
        </w:rPr>
        <w:t>list</w:t>
      </w:r>
    </w:p>
    <w:p w14:paraId="0354815A" w14:textId="77777777" w:rsidR="00282279" w:rsidRDefault="00282279" w:rsidP="001D3AC7">
      <w:pPr>
        <w:spacing w:after="120" w:line="240" w:lineRule="auto"/>
        <w:rPr>
          <w:rFonts w:ascii="Aptos" w:eastAsia="Aptos" w:hAnsi="Aptos" w:cs="Aptos"/>
          <w:b/>
          <w:bCs/>
          <w:szCs w:val="22"/>
        </w:rPr>
      </w:pPr>
    </w:p>
    <w:p w14:paraId="4820F5C7" w14:textId="0F381DAD" w:rsidR="00793095" w:rsidRPr="00282279" w:rsidRDefault="00793095" w:rsidP="001D3AC7">
      <w:pPr>
        <w:spacing w:after="120" w:line="240" w:lineRule="auto"/>
        <w:rPr>
          <w:rFonts w:eastAsia="Aptos" w:cs="Aptos"/>
          <w:b/>
          <w:bCs/>
          <w:szCs w:val="22"/>
        </w:rPr>
      </w:pPr>
      <w:r w:rsidRPr="00282279">
        <w:rPr>
          <w:rFonts w:eastAsia="Aptos" w:cs="Aptos"/>
          <w:b/>
          <w:bCs/>
          <w:szCs w:val="22"/>
        </w:rPr>
        <w:t>GHG emissions:</w:t>
      </w:r>
      <w:r w:rsidRPr="00282279">
        <w:rPr>
          <w:rFonts w:eastAsia="Segoe UI" w:cs="Segoe UI"/>
          <w:szCs w:val="22"/>
        </w:rPr>
        <w:t xml:space="preserve"> greenhouse gas emissions</w:t>
      </w:r>
    </w:p>
    <w:p w14:paraId="25113BCD" w14:textId="59C7269B" w:rsidR="00A22CE9" w:rsidRPr="00282279" w:rsidRDefault="00A22CE9" w:rsidP="001D3AC7">
      <w:pPr>
        <w:spacing w:after="120" w:line="240" w:lineRule="auto"/>
        <w:rPr>
          <w:b/>
          <w:bCs/>
          <w:sz w:val="28"/>
          <w:szCs w:val="28"/>
        </w:rPr>
      </w:pPr>
      <w:r w:rsidRPr="00282279">
        <w:rPr>
          <w:rFonts w:eastAsia="Aptos" w:cs="Aptos"/>
          <w:b/>
          <w:bCs/>
          <w:szCs w:val="22"/>
        </w:rPr>
        <w:t>KPI</w:t>
      </w:r>
      <w:r w:rsidRPr="00282279">
        <w:rPr>
          <w:rFonts w:eastAsia="Aptos" w:cs="Aptos"/>
          <w:szCs w:val="22"/>
        </w:rPr>
        <w:t>: Key Performance Indicator</w:t>
      </w:r>
    </w:p>
    <w:p w14:paraId="76F7F735" w14:textId="76FBD19F" w:rsidR="00801B45" w:rsidRPr="00282279" w:rsidRDefault="00A22CE9" w:rsidP="001D3AC7">
      <w:pPr>
        <w:spacing w:after="120" w:line="240" w:lineRule="auto"/>
        <w:rPr>
          <w:rFonts w:eastAsia="Aptos" w:cs="Aptos"/>
          <w:b/>
          <w:bCs/>
          <w:szCs w:val="22"/>
        </w:rPr>
      </w:pPr>
      <w:r w:rsidRPr="00282279">
        <w:rPr>
          <w:rFonts w:eastAsia="Aptos" w:cs="Aptos"/>
          <w:b/>
          <w:bCs/>
          <w:szCs w:val="22"/>
        </w:rPr>
        <w:t>NEBs</w:t>
      </w:r>
      <w:r w:rsidRPr="00282279">
        <w:rPr>
          <w:rFonts w:eastAsia="Aptos" w:cs="Aptos"/>
          <w:szCs w:val="22"/>
        </w:rPr>
        <w:t>: NIB Environmental Bonds</w:t>
      </w:r>
      <w:r w:rsidRPr="00282279">
        <w:rPr>
          <w:rFonts w:eastAsia="Aptos" w:cs="Aptos"/>
          <w:b/>
          <w:bCs/>
          <w:szCs w:val="22"/>
        </w:rPr>
        <w:t xml:space="preserve"> </w:t>
      </w:r>
    </w:p>
    <w:p w14:paraId="32FF9472" w14:textId="3A155D56" w:rsidR="00801B45" w:rsidRPr="00282279" w:rsidRDefault="00801B45" w:rsidP="001D3AC7">
      <w:pPr>
        <w:spacing w:after="120" w:line="240" w:lineRule="auto"/>
        <w:rPr>
          <w:rFonts w:eastAsia="Aptos" w:cs="Aptos"/>
          <w:b/>
          <w:bCs/>
          <w:szCs w:val="22"/>
        </w:rPr>
      </w:pPr>
      <w:r w:rsidRPr="00282279">
        <w:rPr>
          <w:rFonts w:eastAsia="Aptos" w:cs="Aptos"/>
          <w:b/>
          <w:bCs/>
          <w:szCs w:val="22"/>
        </w:rPr>
        <w:t>NIB SLLB Framework</w:t>
      </w:r>
      <w:r w:rsidRPr="00282279">
        <w:rPr>
          <w:rFonts w:eastAsia="Aptos" w:cs="Aptos"/>
          <w:szCs w:val="22"/>
        </w:rPr>
        <w:t>:</w:t>
      </w:r>
      <w:r w:rsidRPr="00282279">
        <w:rPr>
          <w:rFonts w:eastAsia="Aptos" w:cs="Aptos"/>
          <w:b/>
          <w:bCs/>
          <w:szCs w:val="22"/>
        </w:rPr>
        <w:t xml:space="preserve"> </w:t>
      </w:r>
      <w:hyperlink r:id="rId12" w:history="1">
        <w:r w:rsidRPr="00282279">
          <w:rPr>
            <w:rStyle w:val="Hyperlink"/>
            <w:rFonts w:eastAsia="Aptos" w:cs="Aptos"/>
            <w:szCs w:val="22"/>
          </w:rPr>
          <w:t>NIB Sustainability-linked Loans financing Bond Framework</w:t>
        </w:r>
      </w:hyperlink>
    </w:p>
    <w:p w14:paraId="08F8AB11" w14:textId="4C67F684" w:rsidR="00A22CE9" w:rsidRPr="00282279" w:rsidRDefault="00A22CE9" w:rsidP="001D3AC7">
      <w:pPr>
        <w:spacing w:after="120" w:line="240" w:lineRule="auto"/>
        <w:rPr>
          <w:rFonts w:eastAsia="Aptos" w:cs="Aptos"/>
          <w:b/>
          <w:bCs/>
          <w:szCs w:val="22"/>
        </w:rPr>
      </w:pPr>
      <w:r w:rsidRPr="00282279">
        <w:rPr>
          <w:rFonts w:eastAsia="Aptos" w:cs="Aptos"/>
          <w:b/>
          <w:bCs/>
          <w:szCs w:val="22"/>
        </w:rPr>
        <w:t>SLL</w:t>
      </w:r>
      <w:r w:rsidRPr="00282279">
        <w:rPr>
          <w:rFonts w:eastAsia="Aptos" w:cs="Aptos"/>
          <w:szCs w:val="22"/>
        </w:rPr>
        <w:t>: Sustainability-Linked Loan</w:t>
      </w:r>
    </w:p>
    <w:p w14:paraId="6E7F08CB" w14:textId="206C35B4" w:rsidR="00A22CE9" w:rsidRPr="00282279" w:rsidRDefault="00A22CE9" w:rsidP="001D3AC7">
      <w:pPr>
        <w:spacing w:after="120" w:line="240" w:lineRule="auto"/>
        <w:rPr>
          <w:rFonts w:eastAsia="Aptos" w:cs="Aptos"/>
          <w:szCs w:val="22"/>
        </w:rPr>
      </w:pPr>
      <w:r w:rsidRPr="00282279">
        <w:rPr>
          <w:rFonts w:eastAsia="Aptos" w:cs="Aptos"/>
          <w:b/>
          <w:bCs/>
          <w:szCs w:val="22"/>
        </w:rPr>
        <w:t>SLLB</w:t>
      </w:r>
      <w:r w:rsidRPr="00282279">
        <w:rPr>
          <w:rFonts w:eastAsia="Aptos" w:cs="Aptos"/>
          <w:szCs w:val="22"/>
        </w:rPr>
        <w:t xml:space="preserve">: Sustainability-Linked Loan Bond </w:t>
      </w:r>
    </w:p>
    <w:p w14:paraId="13C869B3" w14:textId="0689DDC2" w:rsidR="00DC0919" w:rsidRPr="00282279" w:rsidRDefault="00DC0919" w:rsidP="001D3AC7">
      <w:pPr>
        <w:spacing w:after="120" w:line="240" w:lineRule="auto"/>
        <w:rPr>
          <w:rFonts w:eastAsia="Aptos" w:cs="Aptos"/>
          <w:szCs w:val="22"/>
        </w:rPr>
      </w:pPr>
      <w:r w:rsidRPr="00282279">
        <w:rPr>
          <w:b/>
          <w:bCs/>
        </w:rPr>
        <w:t>SLLBG:</w:t>
      </w:r>
      <w:r w:rsidR="0024280A" w:rsidRPr="00282279">
        <w:rPr>
          <w:b/>
          <w:bCs/>
        </w:rPr>
        <w:t xml:space="preserve"> </w:t>
      </w:r>
      <w:r w:rsidR="0024280A" w:rsidRPr="00282279">
        <w:t>ICMA</w:t>
      </w:r>
      <w:r w:rsidR="00C52CCA" w:rsidRPr="00282279">
        <w:rPr>
          <w:b/>
          <w:bCs/>
        </w:rPr>
        <w:t xml:space="preserve"> </w:t>
      </w:r>
      <w:hyperlink r:id="rId13" w:history="1">
        <w:r w:rsidR="00C52CCA" w:rsidRPr="00282279">
          <w:rPr>
            <w:rStyle w:val="Hyperlink"/>
          </w:rPr>
          <w:t>Guidelines for Sustainability-Linked Loans financing Bonds</w:t>
        </w:r>
      </w:hyperlink>
    </w:p>
    <w:p w14:paraId="5015FCEB" w14:textId="7BABEAE3" w:rsidR="00D272A8" w:rsidRPr="00282279" w:rsidRDefault="00D272A8" w:rsidP="001D3AC7">
      <w:pPr>
        <w:spacing w:after="120" w:line="240" w:lineRule="auto"/>
        <w:rPr>
          <w:rFonts w:eastAsia="Aptos" w:cs="Aptos"/>
          <w:szCs w:val="22"/>
        </w:rPr>
      </w:pPr>
      <w:r w:rsidRPr="00282279">
        <w:rPr>
          <w:rFonts w:eastAsia="Aptos" w:cs="Aptos"/>
          <w:b/>
          <w:bCs/>
          <w:szCs w:val="22"/>
        </w:rPr>
        <w:t>SPT</w:t>
      </w:r>
      <w:r w:rsidRPr="00282279">
        <w:rPr>
          <w:rFonts w:eastAsia="Aptos" w:cs="Aptos"/>
          <w:szCs w:val="22"/>
        </w:rPr>
        <w:t>: Sustainability performance target</w:t>
      </w:r>
    </w:p>
    <w:p w14:paraId="50F1F3DC" w14:textId="1D1FDED0" w:rsidR="00E80545" w:rsidRPr="00282279" w:rsidRDefault="00A467DF" w:rsidP="001D3AC7">
      <w:pPr>
        <w:spacing w:after="120" w:line="240" w:lineRule="auto"/>
        <w:rPr>
          <w:rFonts w:eastAsia="Aptos" w:cs="Aptos"/>
          <w:szCs w:val="22"/>
        </w:rPr>
      </w:pPr>
      <w:r w:rsidRPr="00282279">
        <w:rPr>
          <w:rFonts w:eastAsia="Aptos" w:cs="Aptos"/>
          <w:b/>
          <w:bCs/>
          <w:szCs w:val="22"/>
        </w:rPr>
        <w:t>SBTi</w:t>
      </w:r>
      <w:r w:rsidR="00415296" w:rsidRPr="00282279">
        <w:rPr>
          <w:rFonts w:eastAsia="Aptos" w:cs="Aptos"/>
          <w:szCs w:val="22"/>
        </w:rPr>
        <w:t xml:space="preserve">: Science </w:t>
      </w:r>
      <w:r w:rsidR="000F24D3" w:rsidRPr="00282279">
        <w:rPr>
          <w:rFonts w:eastAsia="Aptos" w:cs="Aptos"/>
          <w:szCs w:val="22"/>
        </w:rPr>
        <w:t>B</w:t>
      </w:r>
      <w:r w:rsidR="00415296" w:rsidRPr="00282279">
        <w:rPr>
          <w:rFonts w:eastAsia="Aptos" w:cs="Aptos"/>
          <w:szCs w:val="22"/>
        </w:rPr>
        <w:t xml:space="preserve">ased </w:t>
      </w:r>
      <w:r w:rsidR="000F24D3" w:rsidRPr="00282279">
        <w:rPr>
          <w:rFonts w:eastAsia="Aptos" w:cs="Aptos"/>
          <w:szCs w:val="22"/>
        </w:rPr>
        <w:t>T</w:t>
      </w:r>
      <w:r w:rsidR="00415296" w:rsidRPr="00282279">
        <w:rPr>
          <w:rFonts w:eastAsia="Aptos" w:cs="Aptos"/>
          <w:szCs w:val="22"/>
        </w:rPr>
        <w:t xml:space="preserve">argets </w:t>
      </w:r>
      <w:r w:rsidR="000F24D3" w:rsidRPr="00282279">
        <w:rPr>
          <w:rFonts w:eastAsia="Aptos" w:cs="Aptos"/>
          <w:szCs w:val="22"/>
        </w:rPr>
        <w:t>I</w:t>
      </w:r>
      <w:r w:rsidR="00415296" w:rsidRPr="00282279">
        <w:rPr>
          <w:rFonts w:eastAsia="Aptos" w:cs="Aptos"/>
          <w:szCs w:val="22"/>
        </w:rPr>
        <w:t>nitiative</w:t>
      </w:r>
    </w:p>
    <w:p w14:paraId="4EBA92D6" w14:textId="76ABE0A5" w:rsidR="00013E0B" w:rsidRPr="00282279" w:rsidRDefault="00013E0B" w:rsidP="001D3AC7">
      <w:pPr>
        <w:spacing w:after="120" w:line="240" w:lineRule="auto"/>
        <w:rPr>
          <w:rFonts w:eastAsia="Aptos" w:cs="Aptos"/>
          <w:szCs w:val="22"/>
        </w:rPr>
      </w:pPr>
      <w:proofErr w:type="spellStart"/>
      <w:r w:rsidRPr="00282279">
        <w:rPr>
          <w:rFonts w:eastAsia="Aptos" w:cs="Aptos"/>
          <w:b/>
          <w:bCs/>
          <w:szCs w:val="22"/>
        </w:rPr>
        <w:t>UoP</w:t>
      </w:r>
      <w:proofErr w:type="spellEnd"/>
      <w:r w:rsidRPr="00282279">
        <w:rPr>
          <w:rFonts w:eastAsia="Aptos" w:cs="Aptos"/>
          <w:szCs w:val="22"/>
        </w:rPr>
        <w:t xml:space="preserve">: Use-of-Proceeds </w:t>
      </w:r>
    </w:p>
    <w:p w14:paraId="428D9100" w14:textId="77777777" w:rsidR="00013E0B" w:rsidRPr="00282279" w:rsidRDefault="00013E0B" w:rsidP="001D3AC7">
      <w:pPr>
        <w:spacing w:after="120" w:line="240" w:lineRule="auto"/>
        <w:rPr>
          <w:rFonts w:eastAsia="Aptos" w:cs="Aptos"/>
          <w:szCs w:val="22"/>
        </w:rPr>
      </w:pPr>
    </w:p>
    <w:p w14:paraId="4224CB7A" w14:textId="77777777" w:rsidR="00A22CE9" w:rsidRPr="00A22CE9" w:rsidRDefault="00A22CE9" w:rsidP="001D3AC7">
      <w:pPr>
        <w:spacing w:after="120" w:line="240" w:lineRule="auto"/>
        <w:rPr>
          <w:rFonts w:ascii="Aptos" w:eastAsia="Aptos" w:hAnsi="Aptos" w:cs="Aptos"/>
          <w:b/>
          <w:bCs/>
          <w:szCs w:val="22"/>
        </w:rPr>
      </w:pPr>
    </w:p>
    <w:p w14:paraId="5C1C702A" w14:textId="0C10C43D" w:rsidR="00A22CE9" w:rsidRDefault="00A22CE9" w:rsidP="001D3AC7">
      <w:pPr>
        <w:spacing w:after="120" w:line="240" w:lineRule="auto"/>
        <w:rPr>
          <w:rFonts w:asciiTheme="majorHAnsi" w:eastAsiaTheme="majorEastAsia" w:hAnsiTheme="majorHAnsi" w:cstheme="majorBidi"/>
          <w:b/>
          <w:bCs/>
          <w:color w:val="0F4761" w:themeColor="accent1" w:themeShade="BF"/>
          <w:sz w:val="28"/>
          <w:szCs w:val="28"/>
        </w:rPr>
      </w:pPr>
      <w:r>
        <w:rPr>
          <w:b/>
          <w:bCs/>
          <w:sz w:val="28"/>
          <w:szCs w:val="28"/>
        </w:rPr>
        <w:br w:type="page"/>
      </w:r>
    </w:p>
    <w:p w14:paraId="722B94F8" w14:textId="78BC3F14" w:rsidR="0067252B" w:rsidRPr="00D943B2" w:rsidRDefault="0067252B" w:rsidP="00D943B2">
      <w:pPr>
        <w:pStyle w:val="Heading2"/>
        <w:shd w:val="clear" w:color="auto" w:fill="156082" w:themeFill="accent1"/>
        <w:spacing w:before="0" w:after="120" w:line="240" w:lineRule="auto"/>
        <w:rPr>
          <w:b/>
          <w:bCs/>
          <w:color w:val="FFFFFF" w:themeColor="background1"/>
          <w:sz w:val="28"/>
          <w:szCs w:val="28"/>
        </w:rPr>
      </w:pPr>
      <w:bookmarkStart w:id="0" w:name="_Toc209168285"/>
      <w:r w:rsidRPr="00D943B2">
        <w:rPr>
          <w:b/>
          <w:bCs/>
          <w:color w:val="FFFFFF" w:themeColor="background1"/>
          <w:sz w:val="28"/>
          <w:szCs w:val="28"/>
        </w:rPr>
        <w:t>Rationale and approach</w:t>
      </w:r>
      <w:bookmarkEnd w:id="0"/>
    </w:p>
    <w:p w14:paraId="5B342153" w14:textId="7B634D85" w:rsidR="0043667A" w:rsidRDefault="0007C7C7" w:rsidP="0B9E13D9">
      <w:pPr>
        <w:pStyle w:val="ListParagraph"/>
        <w:numPr>
          <w:ilvl w:val="1"/>
          <w:numId w:val="15"/>
        </w:numPr>
        <w:spacing w:after="120" w:line="240" w:lineRule="auto"/>
        <w:ind w:left="426" w:hanging="426"/>
        <w:rPr>
          <w:b/>
          <w:bCs/>
        </w:rPr>
      </w:pPr>
      <w:r w:rsidRPr="0B9E13D9">
        <w:rPr>
          <w:b/>
          <w:bCs/>
        </w:rPr>
        <w:t xml:space="preserve">What is </w:t>
      </w:r>
      <w:r w:rsidR="06F4ED6C" w:rsidRPr="0B9E13D9">
        <w:rPr>
          <w:b/>
          <w:bCs/>
        </w:rPr>
        <w:t>NIB’s</w:t>
      </w:r>
      <w:r w:rsidRPr="0B9E13D9">
        <w:rPr>
          <w:b/>
          <w:bCs/>
        </w:rPr>
        <w:t xml:space="preserve"> motivation for issuing SLLBs?</w:t>
      </w:r>
    </w:p>
    <w:p w14:paraId="041BD88B" w14:textId="1DC28EED" w:rsidR="334B1ED0" w:rsidRDefault="334B1ED0" w:rsidP="001D3AC7">
      <w:pPr>
        <w:spacing w:after="120" w:line="240" w:lineRule="auto"/>
        <w:jc w:val="both"/>
      </w:pPr>
      <w:r w:rsidRPr="0B9E13D9">
        <w:rPr>
          <w:rFonts w:ascii="Aptos" w:eastAsia="Aptos" w:hAnsi="Aptos" w:cs="Aptos"/>
        </w:rPr>
        <w:t xml:space="preserve">NIB views </w:t>
      </w:r>
      <w:r w:rsidR="00A22CE9" w:rsidRPr="0B9E13D9">
        <w:rPr>
          <w:rFonts w:ascii="Aptos" w:eastAsia="Aptos" w:hAnsi="Aptos" w:cs="Aptos"/>
        </w:rPr>
        <w:t>SLLBs</w:t>
      </w:r>
      <w:r w:rsidRPr="0B9E13D9">
        <w:rPr>
          <w:rFonts w:ascii="Aptos" w:eastAsia="Aptos" w:hAnsi="Aptos" w:cs="Aptos"/>
        </w:rPr>
        <w:t xml:space="preserve"> as a valuable complement to our </w:t>
      </w:r>
      <w:proofErr w:type="spellStart"/>
      <w:r w:rsidR="00B42419" w:rsidRPr="0B9E13D9">
        <w:rPr>
          <w:rFonts w:ascii="Aptos" w:eastAsia="Aptos" w:hAnsi="Aptos" w:cs="Aptos"/>
        </w:rPr>
        <w:t>UoP</w:t>
      </w:r>
      <w:proofErr w:type="spellEnd"/>
      <w:r w:rsidRPr="0B9E13D9">
        <w:rPr>
          <w:rFonts w:ascii="Aptos" w:eastAsia="Aptos" w:hAnsi="Aptos" w:cs="Aptos"/>
        </w:rPr>
        <w:t xml:space="preserve"> green bonds, the </w:t>
      </w:r>
      <w:r w:rsidR="00A22CE9" w:rsidRPr="0B9E13D9">
        <w:rPr>
          <w:rFonts w:ascii="Aptos" w:eastAsia="Aptos" w:hAnsi="Aptos" w:cs="Aptos"/>
        </w:rPr>
        <w:t>NEBs</w:t>
      </w:r>
      <w:r w:rsidR="1895A49B" w:rsidRPr="0B9E13D9">
        <w:rPr>
          <w:rFonts w:ascii="Aptos" w:eastAsia="Aptos" w:hAnsi="Aptos" w:cs="Aptos"/>
        </w:rPr>
        <w:t xml:space="preserve"> </w:t>
      </w:r>
      <w:hyperlink r:id="rId14">
        <w:r w:rsidR="1895A49B" w:rsidRPr="0B9E13D9">
          <w:rPr>
            <w:rStyle w:val="Hyperlink"/>
            <w:rFonts w:ascii="Aptos" w:eastAsia="Aptos" w:hAnsi="Aptos" w:cs="Aptos"/>
          </w:rPr>
          <w:t>(NIB Environmental Bonds)</w:t>
        </w:r>
      </w:hyperlink>
      <w:r w:rsidRPr="0B9E13D9">
        <w:rPr>
          <w:rFonts w:ascii="Aptos" w:eastAsia="Aptos" w:hAnsi="Aptos" w:cs="Aptos"/>
        </w:rPr>
        <w:t>, issued since 2011. While NEBs finance specific projects with direct environmental benefits, SLLBs aim to enhance the overall sustainability performance of borrowers through pre-defined, ambitious</w:t>
      </w:r>
      <w:r w:rsidR="00A22CE9" w:rsidRPr="0B9E13D9">
        <w:rPr>
          <w:rFonts w:ascii="Aptos" w:eastAsia="Aptos" w:hAnsi="Aptos" w:cs="Aptos"/>
        </w:rPr>
        <w:t>, material and credible KPIs</w:t>
      </w:r>
      <w:r w:rsidRPr="0B9E13D9">
        <w:rPr>
          <w:rFonts w:ascii="Aptos" w:eastAsia="Aptos" w:hAnsi="Aptos" w:cs="Aptos"/>
        </w:rPr>
        <w:t>.</w:t>
      </w:r>
    </w:p>
    <w:p w14:paraId="6CA84D9E" w14:textId="661AA2C0" w:rsidR="00013E0B" w:rsidRDefault="00013E0B" w:rsidP="001D3AC7">
      <w:pPr>
        <w:spacing w:after="120" w:line="240" w:lineRule="auto"/>
        <w:jc w:val="both"/>
        <w:rPr>
          <w:rFonts w:ascii="Aptos" w:eastAsia="Aptos" w:hAnsi="Aptos" w:cs="Aptos"/>
        </w:rPr>
      </w:pPr>
      <w:r w:rsidRPr="0B9E13D9">
        <w:rPr>
          <w:rFonts w:ascii="Aptos" w:eastAsia="Aptos" w:hAnsi="Aptos" w:cs="Aptos"/>
        </w:rPr>
        <w:t xml:space="preserve">As one of the first SLLB </w:t>
      </w:r>
      <w:r w:rsidR="00DB619F">
        <w:rPr>
          <w:rFonts w:ascii="Aptos" w:eastAsia="Aptos" w:hAnsi="Aptos" w:cs="Aptos"/>
        </w:rPr>
        <w:t>f</w:t>
      </w:r>
      <w:r w:rsidRPr="0B9E13D9">
        <w:rPr>
          <w:rFonts w:ascii="Aptos" w:eastAsia="Aptos" w:hAnsi="Aptos" w:cs="Aptos"/>
        </w:rPr>
        <w:t>rameworks in the Nordic–Baltic region—developed by an IFI and aligned with</w:t>
      </w:r>
      <w:r w:rsidR="00DC0919" w:rsidRPr="0B9E13D9">
        <w:rPr>
          <w:rFonts w:ascii="Aptos" w:eastAsia="Aptos" w:hAnsi="Aptos" w:cs="Aptos"/>
        </w:rPr>
        <w:t xml:space="preserve"> SLLBG </w:t>
      </w:r>
      <w:r w:rsidRPr="0B9E13D9">
        <w:rPr>
          <w:rFonts w:ascii="Aptos" w:eastAsia="Aptos" w:hAnsi="Aptos" w:cs="Aptos"/>
        </w:rPr>
        <w:t xml:space="preserve">—this product sends a market signal and offers a reference point for future </w:t>
      </w:r>
      <w:r w:rsidR="0BBF4AA0" w:rsidRPr="0B9E13D9">
        <w:rPr>
          <w:rFonts w:ascii="Aptos" w:eastAsia="Aptos" w:hAnsi="Aptos" w:cs="Aptos"/>
        </w:rPr>
        <w:t>sustainability-linked bond and loan market</w:t>
      </w:r>
      <w:r w:rsidRPr="0B9E13D9">
        <w:rPr>
          <w:rFonts w:ascii="Aptos" w:eastAsia="Aptos" w:hAnsi="Aptos" w:cs="Aptos"/>
        </w:rPr>
        <w:t xml:space="preserve"> developments.</w:t>
      </w:r>
    </w:p>
    <w:p w14:paraId="17B873FB" w14:textId="6CCEBC22" w:rsidR="334B1ED0" w:rsidRDefault="00013E0B" w:rsidP="001D3AC7">
      <w:pPr>
        <w:spacing w:after="120" w:line="240" w:lineRule="auto"/>
        <w:jc w:val="both"/>
      </w:pPr>
      <w:r>
        <w:rPr>
          <w:rFonts w:ascii="Aptos" w:eastAsia="Aptos" w:hAnsi="Aptos" w:cs="Aptos"/>
          <w:szCs w:val="22"/>
        </w:rPr>
        <w:t>SLLB</w:t>
      </w:r>
      <w:r w:rsidR="334B1ED0" w:rsidRPr="186A95AF">
        <w:rPr>
          <w:rFonts w:ascii="Aptos" w:eastAsia="Aptos" w:hAnsi="Aptos" w:cs="Aptos"/>
          <w:szCs w:val="22"/>
        </w:rPr>
        <w:t xml:space="preserve"> structure offers greater flexibility by enabling financing of broader sustainability initiatives, including for asset-light borrowers and those in hard-to-</w:t>
      </w:r>
      <w:proofErr w:type="gramStart"/>
      <w:r w:rsidR="334B1ED0" w:rsidRPr="186A95AF">
        <w:rPr>
          <w:rFonts w:ascii="Aptos" w:eastAsia="Aptos" w:hAnsi="Aptos" w:cs="Aptos"/>
          <w:szCs w:val="22"/>
        </w:rPr>
        <w:t>abate</w:t>
      </w:r>
      <w:proofErr w:type="gramEnd"/>
      <w:r w:rsidR="334B1ED0" w:rsidRPr="186A95AF">
        <w:rPr>
          <w:rFonts w:ascii="Aptos" w:eastAsia="Aptos" w:hAnsi="Aptos" w:cs="Aptos"/>
          <w:szCs w:val="22"/>
        </w:rPr>
        <w:t xml:space="preserve"> sectors. Through SLLBs, NIB supports </w:t>
      </w:r>
      <w:r w:rsidR="00B42419" w:rsidRPr="186A95AF">
        <w:rPr>
          <w:rFonts w:ascii="Aptos" w:eastAsia="Aptos" w:hAnsi="Aptos" w:cs="Aptos"/>
          <w:szCs w:val="22"/>
        </w:rPr>
        <w:t>decarbonization</w:t>
      </w:r>
      <w:r w:rsidR="334B1ED0" w:rsidRPr="186A95AF">
        <w:rPr>
          <w:rFonts w:ascii="Aptos" w:eastAsia="Aptos" w:hAnsi="Aptos" w:cs="Aptos"/>
          <w:szCs w:val="22"/>
        </w:rPr>
        <w:t xml:space="preserve"> and other key sustainability goals by </w:t>
      </w:r>
      <w:r w:rsidR="00B42419" w:rsidRPr="186A95AF">
        <w:rPr>
          <w:rFonts w:ascii="Aptos" w:eastAsia="Aptos" w:hAnsi="Aptos" w:cs="Aptos"/>
          <w:szCs w:val="22"/>
        </w:rPr>
        <w:t>incentivizing</w:t>
      </w:r>
      <w:r w:rsidR="334B1ED0" w:rsidRPr="186A95AF">
        <w:rPr>
          <w:rFonts w:ascii="Aptos" w:eastAsia="Aptos" w:hAnsi="Aptos" w:cs="Aptos"/>
          <w:szCs w:val="22"/>
        </w:rPr>
        <w:t xml:space="preserve"> meaningful improvements in borrower performance.</w:t>
      </w:r>
    </w:p>
    <w:p w14:paraId="5A9DEE6E" w14:textId="1265197C" w:rsidR="334B1ED0" w:rsidRDefault="334B1ED0" w:rsidP="001D3AC7">
      <w:pPr>
        <w:spacing w:after="120" w:line="240" w:lineRule="auto"/>
        <w:jc w:val="both"/>
      </w:pPr>
      <w:r w:rsidRPr="186A95AF">
        <w:rPr>
          <w:rFonts w:ascii="Aptos" w:eastAsia="Aptos" w:hAnsi="Aptos" w:cs="Aptos"/>
          <w:szCs w:val="22"/>
        </w:rPr>
        <w:t>Issuing SLLBs also allows NIB to showcase our engagement with borrowers on credible transition pathways, promote the role of Sustainability-Linked instruments, and encourage adoption by other issuers. We aim to demonstrate how SLLBs can credibly support clients in transition while boosting market confidence through transparent, material, and science-aligned targets.</w:t>
      </w:r>
    </w:p>
    <w:p w14:paraId="1ADA6741" w14:textId="12914939" w:rsidR="00B42419" w:rsidRDefault="334B1ED0" w:rsidP="001D3AC7">
      <w:pPr>
        <w:spacing w:after="120" w:line="240" w:lineRule="auto"/>
        <w:jc w:val="both"/>
        <w:rPr>
          <w:rFonts w:ascii="Aptos" w:eastAsia="Aptos" w:hAnsi="Aptos" w:cs="Aptos"/>
          <w:szCs w:val="22"/>
        </w:rPr>
      </w:pPr>
      <w:r w:rsidRPr="186A95AF">
        <w:rPr>
          <w:rFonts w:ascii="Aptos" w:eastAsia="Aptos" w:hAnsi="Aptos" w:cs="Aptos"/>
          <w:szCs w:val="22"/>
        </w:rPr>
        <w:t>For investors, SLLBs offer a means to actively participate in the sustainability transition. They align portfolios with long-term sustainable development goals and serve as an important tool in supporting the evolution of the transition finance market. As part of the broader Sustainability-Linked product suite, SLLBs represent a credible and measurable commitment to sustainable finance</w:t>
      </w:r>
      <w:r w:rsidR="006247F4">
        <w:rPr>
          <w:rFonts w:ascii="Aptos" w:eastAsia="Aptos" w:hAnsi="Aptos" w:cs="Aptos"/>
          <w:szCs w:val="22"/>
        </w:rPr>
        <w:t>.</w:t>
      </w:r>
    </w:p>
    <w:p w14:paraId="4616CB91" w14:textId="0B568DF9" w:rsidR="334B1ED0" w:rsidRDefault="334B1ED0" w:rsidP="001D3AC7">
      <w:pPr>
        <w:spacing w:after="120" w:line="240" w:lineRule="auto"/>
        <w:jc w:val="both"/>
        <w:rPr>
          <w:rFonts w:ascii="Aptos" w:eastAsia="Aptos" w:hAnsi="Aptos" w:cs="Aptos"/>
        </w:rPr>
      </w:pPr>
    </w:p>
    <w:p w14:paraId="5646C495" w14:textId="48B84F77" w:rsidR="00353F71" w:rsidRPr="00A22CE9" w:rsidRDefault="003011D2" w:rsidP="0B9E13D9">
      <w:pPr>
        <w:pStyle w:val="ListParagraph"/>
        <w:numPr>
          <w:ilvl w:val="1"/>
          <w:numId w:val="15"/>
        </w:numPr>
        <w:spacing w:after="120" w:line="240" w:lineRule="auto"/>
        <w:ind w:left="426" w:hanging="426"/>
        <w:rPr>
          <w:b/>
          <w:bCs/>
        </w:rPr>
      </w:pPr>
      <w:r w:rsidRPr="0B9E13D9">
        <w:rPr>
          <w:b/>
          <w:bCs/>
        </w:rPr>
        <w:t xml:space="preserve">How does </w:t>
      </w:r>
      <w:r w:rsidR="00E25A02">
        <w:rPr>
          <w:b/>
          <w:bCs/>
        </w:rPr>
        <w:t>NIB</w:t>
      </w:r>
      <w:r w:rsidRPr="0B9E13D9">
        <w:rPr>
          <w:b/>
          <w:bCs/>
        </w:rPr>
        <w:t xml:space="preserve"> SLLB </w:t>
      </w:r>
      <w:r w:rsidR="00E8113A" w:rsidRPr="0B9E13D9">
        <w:rPr>
          <w:b/>
          <w:bCs/>
        </w:rPr>
        <w:t>F</w:t>
      </w:r>
      <w:r w:rsidRPr="0B9E13D9">
        <w:rPr>
          <w:b/>
          <w:bCs/>
        </w:rPr>
        <w:t xml:space="preserve">ramework </w:t>
      </w:r>
      <w:r w:rsidR="00951C9C" w:rsidRPr="0B9E13D9">
        <w:rPr>
          <w:b/>
          <w:bCs/>
        </w:rPr>
        <w:t xml:space="preserve">relate to </w:t>
      </w:r>
      <w:r w:rsidR="168C5723" w:rsidRPr="0B9E13D9">
        <w:rPr>
          <w:b/>
          <w:bCs/>
        </w:rPr>
        <w:t xml:space="preserve">NIB’s </w:t>
      </w:r>
      <w:r w:rsidR="00CE546F" w:rsidRPr="0B9E13D9">
        <w:rPr>
          <w:b/>
          <w:bCs/>
        </w:rPr>
        <w:t xml:space="preserve">issuing of </w:t>
      </w:r>
      <w:r w:rsidR="00197FB5" w:rsidRPr="0B9E13D9">
        <w:rPr>
          <w:b/>
          <w:bCs/>
        </w:rPr>
        <w:t>NEBs</w:t>
      </w:r>
      <w:r w:rsidR="00CE546F" w:rsidRPr="0B9E13D9">
        <w:rPr>
          <w:b/>
          <w:bCs/>
        </w:rPr>
        <w:t>?</w:t>
      </w:r>
    </w:p>
    <w:p w14:paraId="1B5B29EC" w14:textId="4A5004F8" w:rsidR="6C59894D" w:rsidRDefault="00013E0B" w:rsidP="001D3AC7">
      <w:pPr>
        <w:spacing w:after="120" w:line="240" w:lineRule="auto"/>
        <w:jc w:val="both"/>
      </w:pPr>
      <w:r>
        <w:rPr>
          <w:rFonts w:ascii="Aptos" w:eastAsia="Aptos" w:hAnsi="Aptos" w:cs="Aptos"/>
          <w:szCs w:val="22"/>
        </w:rPr>
        <w:t xml:space="preserve">NEBs </w:t>
      </w:r>
      <w:r w:rsidR="6C59894D" w:rsidRPr="186A95AF">
        <w:rPr>
          <w:rFonts w:ascii="Aptos" w:eastAsia="Aptos" w:hAnsi="Aptos" w:cs="Aptos"/>
          <w:szCs w:val="22"/>
        </w:rPr>
        <w:t>are</w:t>
      </w:r>
      <w:r>
        <w:rPr>
          <w:rFonts w:ascii="Aptos" w:eastAsia="Aptos" w:hAnsi="Aptos" w:cs="Aptos"/>
          <w:szCs w:val="22"/>
        </w:rPr>
        <w:t xml:space="preserve"> </w:t>
      </w:r>
      <w:proofErr w:type="spellStart"/>
      <w:r>
        <w:rPr>
          <w:rFonts w:ascii="Aptos" w:eastAsia="Aptos" w:hAnsi="Aptos" w:cs="Aptos"/>
          <w:szCs w:val="22"/>
        </w:rPr>
        <w:t>UoP</w:t>
      </w:r>
      <w:proofErr w:type="spellEnd"/>
      <w:r w:rsidR="6C59894D" w:rsidRPr="186A95AF">
        <w:rPr>
          <w:rFonts w:ascii="Aptos" w:eastAsia="Aptos" w:hAnsi="Aptos" w:cs="Aptos"/>
          <w:szCs w:val="22"/>
        </w:rPr>
        <w:t xml:space="preserve"> bonds issued under a dedicated green bond framework, with proceeds exclusively allocated to financing specific environmental projects.</w:t>
      </w:r>
    </w:p>
    <w:p w14:paraId="3B661808" w14:textId="2341F4D6" w:rsidR="6C59894D" w:rsidRDefault="00E25A02" w:rsidP="001D3AC7">
      <w:pPr>
        <w:spacing w:after="120" w:line="240" w:lineRule="auto"/>
        <w:jc w:val="both"/>
        <w:rPr>
          <w:rFonts w:ascii="Aptos" w:eastAsia="Aptos" w:hAnsi="Aptos" w:cs="Aptos"/>
          <w:szCs w:val="22"/>
        </w:rPr>
      </w:pPr>
      <w:hyperlink r:id="rId15" w:history="1">
        <w:r w:rsidR="00013E0B" w:rsidRPr="00E25A02">
          <w:rPr>
            <w:rStyle w:val="Hyperlink"/>
            <w:rFonts w:ascii="Aptos" w:eastAsia="Aptos" w:hAnsi="Aptos" w:cs="Aptos"/>
            <w:szCs w:val="22"/>
          </w:rPr>
          <w:t>NIB</w:t>
        </w:r>
        <w:r w:rsidR="6C59894D" w:rsidRPr="00E25A02">
          <w:rPr>
            <w:rStyle w:val="Hyperlink"/>
            <w:rFonts w:ascii="Aptos" w:eastAsia="Aptos" w:hAnsi="Aptos" w:cs="Aptos"/>
            <w:szCs w:val="22"/>
          </w:rPr>
          <w:t xml:space="preserve"> </w:t>
        </w:r>
        <w:r w:rsidR="00013E0B" w:rsidRPr="00E25A02">
          <w:rPr>
            <w:rStyle w:val="Hyperlink"/>
            <w:rFonts w:ascii="Aptos" w:eastAsia="Aptos" w:hAnsi="Aptos" w:cs="Aptos"/>
            <w:szCs w:val="22"/>
          </w:rPr>
          <w:t>SLLB</w:t>
        </w:r>
        <w:r w:rsidR="6C59894D" w:rsidRPr="00E25A02">
          <w:rPr>
            <w:rStyle w:val="Hyperlink"/>
            <w:rFonts w:ascii="Aptos" w:eastAsia="Aptos" w:hAnsi="Aptos" w:cs="Aptos"/>
            <w:szCs w:val="22"/>
          </w:rPr>
          <w:t xml:space="preserve"> </w:t>
        </w:r>
        <w:r w:rsidR="00013E0B" w:rsidRPr="00E25A02">
          <w:rPr>
            <w:rStyle w:val="Hyperlink"/>
            <w:rFonts w:ascii="Aptos" w:eastAsia="Aptos" w:hAnsi="Aptos" w:cs="Aptos"/>
            <w:szCs w:val="22"/>
          </w:rPr>
          <w:t>F</w:t>
        </w:r>
        <w:r w:rsidR="6C59894D" w:rsidRPr="00E25A02">
          <w:rPr>
            <w:rStyle w:val="Hyperlink"/>
            <w:rFonts w:ascii="Aptos" w:eastAsia="Aptos" w:hAnsi="Aptos" w:cs="Aptos"/>
            <w:szCs w:val="22"/>
          </w:rPr>
          <w:t>ramework</w:t>
        </w:r>
      </w:hyperlink>
      <w:r w:rsidR="6C59894D" w:rsidRPr="186A95AF">
        <w:rPr>
          <w:rFonts w:ascii="Aptos" w:eastAsia="Aptos" w:hAnsi="Aptos" w:cs="Aptos"/>
          <w:szCs w:val="22"/>
        </w:rPr>
        <w:t xml:space="preserve"> operates in parallel and complements NIB’s sustainable bond offering. While NEBs support individual green investments, </w:t>
      </w:r>
      <w:hyperlink r:id="rId16" w:history="1">
        <w:r w:rsidRPr="00E25A02">
          <w:rPr>
            <w:rStyle w:val="Hyperlink"/>
            <w:rFonts w:ascii="Aptos" w:eastAsia="Aptos" w:hAnsi="Aptos" w:cs="Aptos"/>
            <w:szCs w:val="22"/>
          </w:rPr>
          <w:t>NIB</w:t>
        </w:r>
        <w:r w:rsidR="6C59894D" w:rsidRPr="00E25A02">
          <w:rPr>
            <w:rStyle w:val="Hyperlink"/>
            <w:rFonts w:ascii="Aptos" w:eastAsia="Aptos" w:hAnsi="Aptos" w:cs="Aptos"/>
            <w:szCs w:val="22"/>
          </w:rPr>
          <w:t xml:space="preserve"> SLLB </w:t>
        </w:r>
        <w:r w:rsidR="0038210A" w:rsidRPr="00E25A02">
          <w:rPr>
            <w:rStyle w:val="Hyperlink"/>
            <w:rFonts w:ascii="Aptos" w:eastAsia="Aptos" w:hAnsi="Aptos" w:cs="Aptos"/>
            <w:szCs w:val="22"/>
          </w:rPr>
          <w:t>F</w:t>
        </w:r>
        <w:r w:rsidR="6C59894D" w:rsidRPr="00E25A02">
          <w:rPr>
            <w:rStyle w:val="Hyperlink"/>
            <w:rFonts w:ascii="Aptos" w:eastAsia="Aptos" w:hAnsi="Aptos" w:cs="Aptos"/>
            <w:szCs w:val="22"/>
          </w:rPr>
          <w:t>ramework</w:t>
        </w:r>
      </w:hyperlink>
      <w:r w:rsidR="6C59894D" w:rsidRPr="186A95AF">
        <w:rPr>
          <w:rFonts w:ascii="Aptos" w:eastAsia="Aptos" w:hAnsi="Aptos" w:cs="Aptos"/>
          <w:szCs w:val="22"/>
        </w:rPr>
        <w:t xml:space="preserve"> enables NIB to promote broader sustainability outcomes by linking financing to borrowers’ overall sustainability performance and ambitious targets. Together, these instruments enhance NIB’s ability to support the transition to a more sustainable and resilient Nordic–Baltic region.</w:t>
      </w:r>
    </w:p>
    <w:p w14:paraId="22E2A1F3" w14:textId="77777777" w:rsidR="00B42419" w:rsidRDefault="00B42419" w:rsidP="001D3AC7">
      <w:pPr>
        <w:spacing w:after="120" w:line="240" w:lineRule="auto"/>
        <w:jc w:val="both"/>
      </w:pPr>
    </w:p>
    <w:p w14:paraId="2A17584F" w14:textId="4CCA2A6A" w:rsidR="00D4580C" w:rsidRPr="00A22CE9" w:rsidRDefault="00D4580C" w:rsidP="0B9E13D9">
      <w:pPr>
        <w:pStyle w:val="ListParagraph"/>
        <w:numPr>
          <w:ilvl w:val="1"/>
          <w:numId w:val="15"/>
        </w:numPr>
        <w:spacing w:after="120" w:line="240" w:lineRule="auto"/>
        <w:ind w:left="426" w:hanging="426"/>
        <w:rPr>
          <w:b/>
          <w:bCs/>
        </w:rPr>
      </w:pPr>
      <w:r w:rsidRPr="0B9E13D9">
        <w:rPr>
          <w:b/>
          <w:bCs/>
        </w:rPr>
        <w:t xml:space="preserve">Is </w:t>
      </w:r>
      <w:r w:rsidR="4E84D18C" w:rsidRPr="0B9E13D9">
        <w:rPr>
          <w:b/>
          <w:bCs/>
        </w:rPr>
        <w:t xml:space="preserve">NIB’s </w:t>
      </w:r>
      <w:r w:rsidRPr="0B9E13D9">
        <w:rPr>
          <w:b/>
          <w:bCs/>
        </w:rPr>
        <w:t xml:space="preserve">SLLB </w:t>
      </w:r>
      <w:r w:rsidR="005F40B2" w:rsidRPr="0B9E13D9">
        <w:rPr>
          <w:b/>
          <w:bCs/>
        </w:rPr>
        <w:t>F</w:t>
      </w:r>
      <w:r w:rsidRPr="0B9E13D9">
        <w:rPr>
          <w:b/>
          <w:bCs/>
        </w:rPr>
        <w:t xml:space="preserve">ramework aligned with the </w:t>
      </w:r>
      <w:proofErr w:type="gramStart"/>
      <w:r w:rsidR="095BFA88" w:rsidRPr="0B9E13D9">
        <w:rPr>
          <w:b/>
          <w:bCs/>
        </w:rPr>
        <w:t>P</w:t>
      </w:r>
      <w:r w:rsidRPr="0B9E13D9">
        <w:rPr>
          <w:b/>
          <w:bCs/>
        </w:rPr>
        <w:t>rinciples</w:t>
      </w:r>
      <w:proofErr w:type="gramEnd"/>
      <w:r w:rsidR="1286ABE4" w:rsidRPr="0B9E13D9">
        <w:rPr>
          <w:b/>
          <w:bCs/>
        </w:rPr>
        <w:t xml:space="preserve"> published by ICMA</w:t>
      </w:r>
      <w:r w:rsidRPr="0B9E13D9">
        <w:rPr>
          <w:b/>
          <w:bCs/>
        </w:rPr>
        <w:t>?</w:t>
      </w:r>
    </w:p>
    <w:p w14:paraId="065B881D" w14:textId="17D12B8A" w:rsidR="5BEC54F7" w:rsidRDefault="57C06D0F" w:rsidP="001D3AC7">
      <w:pPr>
        <w:spacing w:after="120" w:line="240" w:lineRule="auto"/>
        <w:jc w:val="both"/>
        <w:rPr>
          <w:rFonts w:ascii="Aptos" w:eastAsia="Aptos" w:hAnsi="Aptos" w:cs="Aptos"/>
          <w:szCs w:val="22"/>
        </w:rPr>
      </w:pPr>
      <w:r w:rsidRPr="186A95AF">
        <w:rPr>
          <w:rFonts w:ascii="Aptos" w:eastAsia="Aptos" w:hAnsi="Aptos" w:cs="Aptos"/>
          <w:szCs w:val="22"/>
        </w:rPr>
        <w:t xml:space="preserve">The </w:t>
      </w:r>
      <w:hyperlink r:id="rId17" w:history="1">
        <w:r w:rsidRPr="00E25A02">
          <w:rPr>
            <w:rStyle w:val="Hyperlink"/>
            <w:rFonts w:ascii="Aptos" w:eastAsia="Aptos" w:hAnsi="Aptos" w:cs="Aptos"/>
            <w:szCs w:val="22"/>
          </w:rPr>
          <w:t xml:space="preserve">NIB SLLB </w:t>
        </w:r>
        <w:r w:rsidR="0038210A" w:rsidRPr="00E25A02">
          <w:rPr>
            <w:rStyle w:val="Hyperlink"/>
            <w:rFonts w:ascii="Aptos" w:eastAsia="Aptos" w:hAnsi="Aptos" w:cs="Aptos"/>
            <w:szCs w:val="22"/>
          </w:rPr>
          <w:t>F</w:t>
        </w:r>
        <w:r w:rsidRPr="00E25A02">
          <w:rPr>
            <w:rStyle w:val="Hyperlink"/>
            <w:rFonts w:ascii="Aptos" w:eastAsia="Aptos" w:hAnsi="Aptos" w:cs="Aptos"/>
            <w:szCs w:val="22"/>
          </w:rPr>
          <w:t>ramework</w:t>
        </w:r>
      </w:hyperlink>
      <w:r w:rsidRPr="186A95AF">
        <w:rPr>
          <w:rFonts w:ascii="Aptos" w:eastAsia="Aptos" w:hAnsi="Aptos" w:cs="Aptos"/>
          <w:szCs w:val="22"/>
        </w:rPr>
        <w:t xml:space="preserve"> is aligned with the SLLB</w:t>
      </w:r>
      <w:r w:rsidR="009A6C19">
        <w:rPr>
          <w:rFonts w:ascii="Aptos" w:eastAsia="Aptos" w:hAnsi="Aptos" w:cs="Aptos"/>
          <w:szCs w:val="22"/>
        </w:rPr>
        <w:t xml:space="preserve">G </w:t>
      </w:r>
      <w:r w:rsidRPr="186A95AF">
        <w:rPr>
          <w:rFonts w:ascii="Aptos" w:eastAsia="Aptos" w:hAnsi="Aptos" w:cs="Aptos"/>
          <w:szCs w:val="22"/>
        </w:rPr>
        <w:t>published by ICMA/The Principles (and as stated</w:t>
      </w:r>
      <w:r w:rsidR="00E8113A">
        <w:rPr>
          <w:rFonts w:ascii="Aptos" w:eastAsia="Aptos" w:hAnsi="Aptos" w:cs="Aptos"/>
          <w:szCs w:val="22"/>
        </w:rPr>
        <w:t xml:space="preserve"> in the </w:t>
      </w:r>
      <w:hyperlink r:id="rId18" w:history="1">
        <w:r w:rsidR="00E8113A" w:rsidRPr="00E8113A">
          <w:rPr>
            <w:rStyle w:val="Hyperlink"/>
            <w:rFonts w:ascii="Aptos" w:eastAsia="Aptos" w:hAnsi="Aptos" w:cs="Aptos"/>
            <w:szCs w:val="22"/>
          </w:rPr>
          <w:t>Second Opinion</w:t>
        </w:r>
      </w:hyperlink>
      <w:r w:rsidRPr="186A95AF">
        <w:rPr>
          <w:rFonts w:ascii="Aptos" w:eastAsia="Aptos" w:hAnsi="Aptos" w:cs="Aptos"/>
          <w:szCs w:val="22"/>
        </w:rPr>
        <w:t xml:space="preserve"> by the external second opinion provider, S&amp;P Global ratings, </w:t>
      </w:r>
      <w:r w:rsidR="005F40B2">
        <w:rPr>
          <w:rFonts w:ascii="Aptos" w:eastAsia="Aptos" w:hAnsi="Aptos" w:cs="Aptos"/>
          <w:szCs w:val="22"/>
        </w:rPr>
        <w:t>NIB SLLB F</w:t>
      </w:r>
      <w:r w:rsidRPr="186A95AF">
        <w:rPr>
          <w:rFonts w:ascii="Aptos" w:eastAsia="Aptos" w:hAnsi="Aptos" w:cs="Aptos"/>
          <w:szCs w:val="22"/>
        </w:rPr>
        <w:t xml:space="preserve">ramework is also conceptually aligned with the Green Bond </w:t>
      </w:r>
      <w:r w:rsidRPr="2E3E29B1">
        <w:rPr>
          <w:rFonts w:ascii="Aptos" w:eastAsia="Aptos" w:hAnsi="Aptos" w:cs="Aptos"/>
        </w:rPr>
        <w:t>Prin</w:t>
      </w:r>
      <w:r w:rsidR="6546D67B" w:rsidRPr="2E3E29B1">
        <w:rPr>
          <w:rFonts w:ascii="Aptos" w:eastAsia="Aptos" w:hAnsi="Aptos" w:cs="Aptos"/>
        </w:rPr>
        <w:t>ci</w:t>
      </w:r>
      <w:r w:rsidRPr="2E3E29B1">
        <w:rPr>
          <w:rFonts w:ascii="Aptos" w:eastAsia="Aptos" w:hAnsi="Aptos" w:cs="Aptos"/>
        </w:rPr>
        <w:t>ples</w:t>
      </w:r>
      <w:r w:rsidRPr="186A95AF">
        <w:rPr>
          <w:rFonts w:ascii="Aptos" w:eastAsia="Aptos" w:hAnsi="Aptos" w:cs="Aptos"/>
          <w:szCs w:val="22"/>
        </w:rPr>
        <w:t xml:space="preserve"> published by the ICMA/The Principles).</w:t>
      </w:r>
    </w:p>
    <w:p w14:paraId="16D9AC95" w14:textId="77777777" w:rsidR="00B42419" w:rsidRDefault="00B42419" w:rsidP="001D3AC7">
      <w:pPr>
        <w:spacing w:after="120" w:line="240" w:lineRule="auto"/>
        <w:jc w:val="both"/>
      </w:pPr>
    </w:p>
    <w:p w14:paraId="212E1202" w14:textId="56BFFCD9" w:rsidR="00197FB5" w:rsidRPr="0038210A" w:rsidRDefault="002D5CC1" w:rsidP="0B9E13D9">
      <w:pPr>
        <w:pStyle w:val="ListParagraph"/>
        <w:numPr>
          <w:ilvl w:val="1"/>
          <w:numId w:val="15"/>
        </w:numPr>
        <w:tabs>
          <w:tab w:val="left" w:pos="426"/>
        </w:tabs>
        <w:spacing w:after="120" w:line="240" w:lineRule="auto"/>
        <w:ind w:left="426" w:hanging="426"/>
        <w:rPr>
          <w:b/>
          <w:bCs/>
        </w:rPr>
      </w:pPr>
      <w:r w:rsidRPr="0B9E13D9">
        <w:rPr>
          <w:b/>
          <w:bCs/>
        </w:rPr>
        <w:t>How frequently do</w:t>
      </w:r>
      <w:r w:rsidR="5CE3954D" w:rsidRPr="0B9E13D9">
        <w:rPr>
          <w:b/>
          <w:bCs/>
        </w:rPr>
        <w:t>es NIB</w:t>
      </w:r>
      <w:r w:rsidRPr="0B9E13D9">
        <w:rPr>
          <w:b/>
          <w:bCs/>
        </w:rPr>
        <w:t xml:space="preserve"> plan to issue SLLBs? </w:t>
      </w:r>
    </w:p>
    <w:p w14:paraId="18400922" w14:textId="7FCEB392" w:rsidR="0ACE80F8" w:rsidRDefault="0ACE80F8" w:rsidP="001D3AC7">
      <w:pPr>
        <w:spacing w:after="120" w:line="240" w:lineRule="auto"/>
        <w:jc w:val="both"/>
        <w:rPr>
          <w:rFonts w:ascii="Aptos" w:eastAsia="Aptos" w:hAnsi="Aptos" w:cs="Aptos"/>
        </w:rPr>
      </w:pPr>
      <w:r w:rsidRPr="4557239D">
        <w:rPr>
          <w:rFonts w:ascii="Aptos" w:eastAsia="Aptos" w:hAnsi="Aptos" w:cs="Aptos"/>
        </w:rPr>
        <w:t xml:space="preserve">The frequency of SLLB issuance will depend on market conditions and the continued development of the sustainability-linked bond and loan market. </w:t>
      </w:r>
      <w:proofErr w:type="gramStart"/>
      <w:r w:rsidRPr="4557239D">
        <w:rPr>
          <w:rFonts w:ascii="Aptos" w:eastAsia="Aptos" w:hAnsi="Aptos" w:cs="Aptos"/>
        </w:rPr>
        <w:t>In particular, it</w:t>
      </w:r>
      <w:proofErr w:type="gramEnd"/>
      <w:r w:rsidRPr="4557239D">
        <w:rPr>
          <w:rFonts w:ascii="Aptos" w:eastAsia="Aptos" w:hAnsi="Aptos" w:cs="Aptos"/>
        </w:rPr>
        <w:t xml:space="preserve"> will be driven by the availability of eligible </w:t>
      </w:r>
      <w:r w:rsidR="0038210A">
        <w:rPr>
          <w:rFonts w:ascii="Aptos" w:eastAsia="Aptos" w:hAnsi="Aptos" w:cs="Aptos"/>
        </w:rPr>
        <w:t>SLLs</w:t>
      </w:r>
      <w:r w:rsidRPr="4557239D">
        <w:rPr>
          <w:rFonts w:ascii="Aptos" w:eastAsia="Aptos" w:hAnsi="Aptos" w:cs="Aptos"/>
        </w:rPr>
        <w:t xml:space="preserve"> that meet NIB’s </w:t>
      </w:r>
      <w:r w:rsidR="0038210A">
        <w:rPr>
          <w:rFonts w:ascii="Aptos" w:eastAsia="Aptos" w:hAnsi="Aptos" w:cs="Aptos"/>
        </w:rPr>
        <w:t>requirements</w:t>
      </w:r>
      <w:r w:rsidRPr="4557239D">
        <w:rPr>
          <w:rFonts w:ascii="Aptos" w:eastAsia="Aptos" w:hAnsi="Aptos" w:cs="Aptos"/>
        </w:rPr>
        <w:t xml:space="preserve"> for credibility, materiality, and ambition. As the market matures and borrower demand for sustainability-linked financing grows, NIB expects issuance activity to increase accordingly</w:t>
      </w:r>
      <w:r w:rsidR="3DEB52E5" w:rsidRPr="4557239D">
        <w:rPr>
          <w:rFonts w:ascii="Aptos" w:eastAsia="Aptos" w:hAnsi="Aptos" w:cs="Aptos"/>
        </w:rPr>
        <w:t>.</w:t>
      </w:r>
    </w:p>
    <w:p w14:paraId="72EDB6C0" w14:textId="77777777" w:rsidR="00B42419" w:rsidRDefault="00B42419" w:rsidP="001D3AC7">
      <w:pPr>
        <w:spacing w:after="120" w:line="240" w:lineRule="auto"/>
        <w:jc w:val="both"/>
      </w:pPr>
    </w:p>
    <w:p w14:paraId="635170E7" w14:textId="7F87D954" w:rsidR="00E65E6F" w:rsidRPr="0038210A" w:rsidRDefault="00197FB5" w:rsidP="0B9E13D9">
      <w:pPr>
        <w:pStyle w:val="ListParagraph"/>
        <w:numPr>
          <w:ilvl w:val="1"/>
          <w:numId w:val="15"/>
        </w:numPr>
        <w:tabs>
          <w:tab w:val="left" w:pos="426"/>
        </w:tabs>
        <w:spacing w:after="120" w:line="240" w:lineRule="auto"/>
        <w:ind w:left="426" w:hanging="426"/>
        <w:rPr>
          <w:b/>
          <w:bCs/>
        </w:rPr>
      </w:pPr>
      <w:r w:rsidRPr="0B9E13D9">
        <w:rPr>
          <w:b/>
          <w:bCs/>
        </w:rPr>
        <w:t xml:space="preserve">When did </w:t>
      </w:r>
      <w:r w:rsidR="53036A6F" w:rsidRPr="0B9E13D9">
        <w:rPr>
          <w:b/>
          <w:bCs/>
        </w:rPr>
        <w:t>NIB</w:t>
      </w:r>
      <w:r w:rsidRPr="0B9E13D9">
        <w:rPr>
          <w:b/>
          <w:bCs/>
        </w:rPr>
        <w:t xml:space="preserve"> first start originating SLLs? What has been the growth rate of </w:t>
      </w:r>
      <w:r w:rsidR="50D0871A" w:rsidRPr="0B9E13D9">
        <w:rPr>
          <w:b/>
          <w:bCs/>
        </w:rPr>
        <w:t xml:space="preserve">NIBs </w:t>
      </w:r>
      <w:r w:rsidRPr="0B9E13D9">
        <w:rPr>
          <w:b/>
          <w:bCs/>
        </w:rPr>
        <w:t>SLL portfolio in the past years?</w:t>
      </w:r>
    </w:p>
    <w:p w14:paraId="03D7E025" w14:textId="6BAA2E18" w:rsidR="5EE20857" w:rsidRDefault="6F2081E0" w:rsidP="001D3AC7">
      <w:pPr>
        <w:pStyle w:val="ListParagraph"/>
        <w:spacing w:after="120" w:line="240" w:lineRule="auto"/>
        <w:ind w:left="0"/>
        <w:contextualSpacing w:val="0"/>
        <w:jc w:val="both"/>
      </w:pPr>
      <w:r>
        <w:t>First SLL was signed in 2021. Currently our total SLL portfolio reaches 1.3 bn EUR.</w:t>
      </w:r>
    </w:p>
    <w:p w14:paraId="29BFE92C" w14:textId="77777777" w:rsidR="00B42419" w:rsidRDefault="00B42419" w:rsidP="001D3AC7">
      <w:pPr>
        <w:pStyle w:val="ListParagraph"/>
        <w:spacing w:after="120" w:line="240" w:lineRule="auto"/>
        <w:ind w:left="0"/>
        <w:contextualSpacing w:val="0"/>
        <w:jc w:val="both"/>
      </w:pPr>
    </w:p>
    <w:p w14:paraId="7D70CD5E" w14:textId="2A641E9F" w:rsidR="003D418A" w:rsidRPr="0038210A" w:rsidRDefault="0DC7C8FB" w:rsidP="0B9E13D9">
      <w:pPr>
        <w:pStyle w:val="ListParagraph"/>
        <w:numPr>
          <w:ilvl w:val="1"/>
          <w:numId w:val="15"/>
        </w:numPr>
        <w:tabs>
          <w:tab w:val="left" w:pos="426"/>
        </w:tabs>
        <w:spacing w:after="120" w:line="240" w:lineRule="auto"/>
        <w:ind w:left="426" w:hanging="426"/>
        <w:rPr>
          <w:b/>
          <w:bCs/>
        </w:rPr>
      </w:pPr>
      <w:r w:rsidRPr="0B9E13D9">
        <w:rPr>
          <w:b/>
          <w:bCs/>
        </w:rPr>
        <w:t xml:space="preserve"> Do</w:t>
      </w:r>
      <w:r w:rsidR="3B13708B" w:rsidRPr="0B9E13D9">
        <w:rPr>
          <w:b/>
          <w:bCs/>
        </w:rPr>
        <w:t>es NIB</w:t>
      </w:r>
      <w:r w:rsidRPr="0B9E13D9">
        <w:rPr>
          <w:b/>
          <w:bCs/>
        </w:rPr>
        <w:t xml:space="preserve"> have enough SLLs to back up SLLB</w:t>
      </w:r>
      <w:r w:rsidR="589F1AA2" w:rsidRPr="0B9E13D9">
        <w:rPr>
          <w:b/>
          <w:bCs/>
        </w:rPr>
        <w:t>s</w:t>
      </w:r>
      <w:r w:rsidRPr="0B9E13D9">
        <w:rPr>
          <w:b/>
          <w:bCs/>
        </w:rPr>
        <w:t>?</w:t>
      </w:r>
    </w:p>
    <w:p w14:paraId="40B6306E" w14:textId="6362EFB4" w:rsidR="0DC7C8FB" w:rsidRDefault="0DC7C8FB" w:rsidP="001D3AC7">
      <w:pPr>
        <w:spacing w:after="120" w:line="240" w:lineRule="auto"/>
        <w:jc w:val="both"/>
        <w:rPr>
          <w:rFonts w:ascii="Aptos" w:eastAsia="Aptos" w:hAnsi="Aptos" w:cs="Aptos"/>
        </w:rPr>
      </w:pPr>
      <w:r w:rsidRPr="0038210A">
        <w:rPr>
          <w:rFonts w:ascii="Aptos" w:eastAsia="Aptos" w:hAnsi="Aptos" w:cs="Aptos"/>
        </w:rPr>
        <w:t xml:space="preserve">The size of the SLL Eligible Portfolio should always exceed the total amount of outstanding SLLBs by at least 10%.  </w:t>
      </w:r>
    </w:p>
    <w:p w14:paraId="2050FE5D" w14:textId="77777777" w:rsidR="00B42419" w:rsidRPr="0038210A" w:rsidRDefault="00B42419" w:rsidP="001D3AC7">
      <w:pPr>
        <w:spacing w:after="120" w:line="240" w:lineRule="auto"/>
        <w:jc w:val="both"/>
        <w:rPr>
          <w:rFonts w:ascii="Aptos" w:eastAsia="Aptos" w:hAnsi="Aptos" w:cs="Aptos"/>
        </w:rPr>
      </w:pPr>
    </w:p>
    <w:p w14:paraId="31439AAD" w14:textId="3BFCC5FF" w:rsidR="00AE2979" w:rsidRPr="0038210A" w:rsidRDefault="00AF35B5" w:rsidP="001D3AC7">
      <w:pPr>
        <w:pStyle w:val="ListParagraph"/>
        <w:numPr>
          <w:ilvl w:val="1"/>
          <w:numId w:val="15"/>
        </w:numPr>
        <w:tabs>
          <w:tab w:val="left" w:pos="426"/>
        </w:tabs>
        <w:spacing w:after="120" w:line="240" w:lineRule="auto"/>
        <w:ind w:left="426" w:hanging="426"/>
        <w:contextualSpacing w:val="0"/>
        <w:rPr>
          <w:b/>
          <w:bCs/>
        </w:rPr>
      </w:pPr>
      <w:r w:rsidRPr="0038210A">
        <w:rPr>
          <w:b/>
          <w:bCs/>
        </w:rPr>
        <w:t>Will certain sectors or activities be</w:t>
      </w:r>
      <w:r w:rsidR="00A8760D" w:rsidRPr="0038210A">
        <w:rPr>
          <w:b/>
          <w:bCs/>
        </w:rPr>
        <w:t xml:space="preserve"> excluded from funding under </w:t>
      </w:r>
      <w:r w:rsidR="005F40B2">
        <w:rPr>
          <w:b/>
          <w:bCs/>
        </w:rPr>
        <w:t>NIB SLLB F</w:t>
      </w:r>
      <w:r w:rsidR="00A8760D" w:rsidRPr="0038210A">
        <w:rPr>
          <w:b/>
          <w:bCs/>
        </w:rPr>
        <w:t>ramework?</w:t>
      </w:r>
    </w:p>
    <w:p w14:paraId="57BE0373" w14:textId="5B01681A" w:rsidR="5AF5F38F" w:rsidRPr="0038210A" w:rsidRDefault="5AF5F38F" w:rsidP="001D3AC7">
      <w:pPr>
        <w:pStyle w:val="Header"/>
        <w:spacing w:after="120"/>
        <w:jc w:val="both"/>
        <w:rPr>
          <w:rFonts w:ascii="Aptos" w:eastAsia="Aptos" w:hAnsi="Aptos" w:cs="Aptos"/>
          <w:lang w:val="en-GB"/>
        </w:rPr>
      </w:pPr>
      <w:r w:rsidRPr="31D417A3">
        <w:rPr>
          <w:rFonts w:ascii="Aptos" w:eastAsia="Aptos" w:hAnsi="Aptos" w:cs="Aptos"/>
          <w:lang w:val="en-GB"/>
        </w:rPr>
        <w:t xml:space="preserve">Non-eligible sectors are listed in </w:t>
      </w:r>
      <w:hyperlink r:id="rId19" w:history="1">
        <w:r w:rsidRPr="00D44549">
          <w:rPr>
            <w:rStyle w:val="Hyperlink"/>
            <w:rFonts w:ascii="Aptos" w:eastAsia="Aptos" w:hAnsi="Aptos" w:cs="Aptos"/>
            <w:lang w:val="en-GB"/>
          </w:rPr>
          <w:t>NIB’s Sustainability Policy</w:t>
        </w:r>
      </w:hyperlink>
      <w:r w:rsidRPr="31D417A3">
        <w:rPr>
          <w:rFonts w:ascii="Aptos" w:eastAsia="Aptos" w:hAnsi="Aptos" w:cs="Aptos"/>
          <w:lang w:val="en-GB"/>
        </w:rPr>
        <w:t xml:space="preserve"> exclusion list. In addition, borrowers operating within the defence sector are not considered eligible for inclusion in the SLL Eligible Portfolio.  </w:t>
      </w:r>
    </w:p>
    <w:p w14:paraId="5B3F0C9F" w14:textId="6CD7DEEC" w:rsidR="465A30AF" w:rsidRDefault="465A30AF" w:rsidP="001D3AC7">
      <w:pPr>
        <w:pStyle w:val="ListParagraph"/>
        <w:spacing w:after="120" w:line="240" w:lineRule="auto"/>
        <w:ind w:left="1080"/>
        <w:contextualSpacing w:val="0"/>
        <w:rPr>
          <w:szCs w:val="22"/>
        </w:rPr>
      </w:pPr>
    </w:p>
    <w:p w14:paraId="062BC09D" w14:textId="5FB04389" w:rsidR="00D272A8" w:rsidRPr="00D272A8" w:rsidRDefault="00AE2979" w:rsidP="0B9E13D9">
      <w:pPr>
        <w:pStyle w:val="ListParagraph"/>
        <w:numPr>
          <w:ilvl w:val="1"/>
          <w:numId w:val="15"/>
        </w:numPr>
        <w:tabs>
          <w:tab w:val="left" w:pos="426"/>
        </w:tabs>
        <w:spacing w:after="120" w:line="240" w:lineRule="auto"/>
        <w:ind w:left="0" w:firstLine="0"/>
        <w:jc w:val="both"/>
      </w:pPr>
      <w:r w:rsidRPr="0B9E13D9">
        <w:rPr>
          <w:b/>
          <w:bCs/>
        </w:rPr>
        <w:t xml:space="preserve">Do </w:t>
      </w:r>
      <w:r w:rsidR="646CFB09" w:rsidRPr="0B9E13D9">
        <w:rPr>
          <w:b/>
          <w:bCs/>
        </w:rPr>
        <w:t xml:space="preserve">we </w:t>
      </w:r>
      <w:r w:rsidRPr="0B9E13D9">
        <w:rPr>
          <w:b/>
          <w:bCs/>
        </w:rPr>
        <w:t>consider SLLBs to be a 'transition’ labelled product?</w:t>
      </w:r>
    </w:p>
    <w:p w14:paraId="6A3EFF0D" w14:textId="74EAF6BD" w:rsidR="71D4E3BC" w:rsidRDefault="71D4E3BC" w:rsidP="0B9E13D9">
      <w:pPr>
        <w:pStyle w:val="ListParagraph"/>
        <w:tabs>
          <w:tab w:val="left" w:pos="426"/>
        </w:tabs>
        <w:spacing w:after="120" w:line="240" w:lineRule="auto"/>
        <w:ind w:left="0"/>
        <w:jc w:val="both"/>
        <w:rPr>
          <w:rFonts w:ascii="Aptos" w:eastAsia="Aptos" w:hAnsi="Aptos" w:cs="Aptos"/>
        </w:rPr>
      </w:pPr>
      <w:r w:rsidRPr="0B9E13D9">
        <w:rPr>
          <w:rFonts w:ascii="Aptos" w:eastAsia="Aptos" w:hAnsi="Aptos" w:cs="Aptos"/>
        </w:rPr>
        <w:t>While we will not use a specific ‘transition label’ for this product, th</w:t>
      </w:r>
      <w:r w:rsidR="49B4A8C0" w:rsidRPr="0B9E13D9">
        <w:rPr>
          <w:rFonts w:ascii="Aptos" w:eastAsia="Aptos" w:hAnsi="Aptos" w:cs="Aptos"/>
        </w:rPr>
        <w:t>e SLLB is a way for NIB to support the sustainable transition</w:t>
      </w:r>
      <w:r w:rsidR="774CDB28" w:rsidRPr="0B9E13D9">
        <w:rPr>
          <w:rFonts w:ascii="Aptos" w:eastAsia="Aptos" w:hAnsi="Aptos" w:cs="Aptos"/>
        </w:rPr>
        <w:t>,</w:t>
      </w:r>
      <w:r w:rsidR="49B4A8C0" w:rsidRPr="0B9E13D9">
        <w:rPr>
          <w:rFonts w:ascii="Aptos" w:eastAsia="Aptos" w:hAnsi="Aptos" w:cs="Aptos"/>
        </w:rPr>
        <w:t xml:space="preserve"> </w:t>
      </w:r>
      <w:r w:rsidR="0B20CCEF" w:rsidRPr="0B9E13D9">
        <w:rPr>
          <w:rFonts w:ascii="Aptos" w:eastAsia="Aptos" w:hAnsi="Aptos" w:cs="Aptos"/>
        </w:rPr>
        <w:t xml:space="preserve">which would not fit under our </w:t>
      </w:r>
      <w:proofErr w:type="spellStart"/>
      <w:r w:rsidR="0B20CCEF" w:rsidRPr="0B9E13D9">
        <w:rPr>
          <w:rFonts w:ascii="Aptos" w:eastAsia="Aptos" w:hAnsi="Aptos" w:cs="Aptos"/>
        </w:rPr>
        <w:t>UoP</w:t>
      </w:r>
      <w:proofErr w:type="spellEnd"/>
      <w:r w:rsidR="0B20CCEF" w:rsidRPr="0B9E13D9">
        <w:rPr>
          <w:rFonts w:ascii="Aptos" w:eastAsia="Aptos" w:hAnsi="Aptos" w:cs="Aptos"/>
        </w:rPr>
        <w:t xml:space="preserve"> NIB Environmental Bond framework.</w:t>
      </w:r>
    </w:p>
    <w:p w14:paraId="0199C16F" w14:textId="7E548791" w:rsidR="05AB6730" w:rsidRDefault="05AB6730" w:rsidP="001D3AC7">
      <w:pPr>
        <w:pStyle w:val="ListParagraph"/>
        <w:spacing w:after="120" w:line="240" w:lineRule="auto"/>
        <w:ind w:left="1080"/>
        <w:contextualSpacing w:val="0"/>
      </w:pPr>
    </w:p>
    <w:p w14:paraId="1B71B911" w14:textId="720C5CA5" w:rsidR="00A07CCC" w:rsidRPr="0038210A" w:rsidRDefault="5750700A" w:rsidP="001D3AC7">
      <w:pPr>
        <w:pStyle w:val="ListParagraph"/>
        <w:numPr>
          <w:ilvl w:val="1"/>
          <w:numId w:val="15"/>
        </w:numPr>
        <w:tabs>
          <w:tab w:val="left" w:pos="426"/>
        </w:tabs>
        <w:spacing w:after="120" w:line="240" w:lineRule="auto"/>
        <w:ind w:left="426" w:hanging="426"/>
        <w:contextualSpacing w:val="0"/>
        <w:rPr>
          <w:b/>
          <w:bCs/>
        </w:rPr>
      </w:pPr>
      <w:r w:rsidRPr="0038210A">
        <w:rPr>
          <w:b/>
          <w:bCs/>
        </w:rPr>
        <w:t xml:space="preserve">Would NIB consider financing </w:t>
      </w:r>
      <w:r w:rsidR="00B42419" w:rsidRPr="0038210A">
        <w:rPr>
          <w:b/>
          <w:bCs/>
        </w:rPr>
        <w:t>defense</w:t>
      </w:r>
      <w:r w:rsidRPr="0038210A">
        <w:rPr>
          <w:b/>
          <w:bCs/>
        </w:rPr>
        <w:t xml:space="preserve"> related loans with SLLBs?</w:t>
      </w:r>
    </w:p>
    <w:p w14:paraId="1F550825" w14:textId="329DCF00" w:rsidR="00C120A5" w:rsidRDefault="5750700A" w:rsidP="001D3AC7">
      <w:pPr>
        <w:spacing w:after="120" w:line="240" w:lineRule="auto"/>
        <w:jc w:val="both"/>
      </w:pPr>
      <w:r w:rsidRPr="607A3523">
        <w:rPr>
          <w:rFonts w:ascii="Aptos" w:eastAsia="Aptos" w:hAnsi="Aptos" w:cs="Aptos"/>
        </w:rPr>
        <w:t xml:space="preserve">NIB would not include </w:t>
      </w:r>
      <w:r w:rsidR="00B42419" w:rsidRPr="607A3523">
        <w:rPr>
          <w:rFonts w:ascii="Aptos" w:eastAsia="Aptos" w:hAnsi="Aptos" w:cs="Aptos"/>
        </w:rPr>
        <w:t>defense-related</w:t>
      </w:r>
      <w:r w:rsidRPr="607A3523">
        <w:rPr>
          <w:rFonts w:ascii="Aptos" w:eastAsia="Aptos" w:hAnsi="Aptos" w:cs="Aptos"/>
        </w:rPr>
        <w:t xml:space="preserve"> loans in its SLL Eligible Portfolio</w:t>
      </w:r>
      <w:r w:rsidR="1F846CC9" w:rsidRPr="607A3523">
        <w:rPr>
          <w:rFonts w:ascii="Aptos" w:eastAsia="Aptos" w:hAnsi="Aptos" w:cs="Aptos"/>
        </w:rPr>
        <w:t>, including dual use.</w:t>
      </w:r>
      <w:r>
        <w:br/>
      </w:r>
    </w:p>
    <w:p w14:paraId="097234B1" w14:textId="6D3A5E69" w:rsidR="0067252B" w:rsidRPr="00C120A5" w:rsidRDefault="0067252B" w:rsidP="00C120A5">
      <w:pPr>
        <w:pStyle w:val="Heading2"/>
        <w:shd w:val="clear" w:color="auto" w:fill="156082" w:themeFill="accent1"/>
        <w:spacing w:before="0" w:after="120" w:line="240" w:lineRule="auto"/>
        <w:rPr>
          <w:b/>
          <w:bCs/>
          <w:color w:val="FFFFFF" w:themeColor="background1"/>
          <w:sz w:val="28"/>
          <w:szCs w:val="28"/>
        </w:rPr>
      </w:pPr>
      <w:bookmarkStart w:id="1" w:name="_Toc209168286"/>
      <w:r w:rsidRPr="00C120A5">
        <w:rPr>
          <w:b/>
          <w:bCs/>
          <w:color w:val="FFFFFF" w:themeColor="background1"/>
          <w:sz w:val="28"/>
          <w:szCs w:val="28"/>
        </w:rPr>
        <w:t>Use of Proceeds</w:t>
      </w:r>
      <w:bookmarkEnd w:id="1"/>
    </w:p>
    <w:p w14:paraId="54F832BB" w14:textId="7983B850" w:rsidR="00AE2979" w:rsidRPr="00113F91" w:rsidRDefault="00ED375E" w:rsidP="0B9E13D9">
      <w:pPr>
        <w:pStyle w:val="ListParagraph"/>
        <w:numPr>
          <w:ilvl w:val="1"/>
          <w:numId w:val="15"/>
        </w:numPr>
        <w:spacing w:after="120" w:line="240" w:lineRule="auto"/>
        <w:ind w:left="426" w:hanging="426"/>
        <w:rPr>
          <w:b/>
          <w:bCs/>
        </w:rPr>
      </w:pPr>
      <w:r w:rsidRPr="0B9E13D9">
        <w:rPr>
          <w:b/>
          <w:bCs/>
        </w:rPr>
        <w:t>Wh</w:t>
      </w:r>
      <w:r w:rsidR="55E6D173" w:rsidRPr="0B9E13D9">
        <w:rPr>
          <w:b/>
          <w:bCs/>
        </w:rPr>
        <w:t xml:space="preserve">at are the criteria for </w:t>
      </w:r>
      <w:r w:rsidRPr="0B9E13D9">
        <w:rPr>
          <w:b/>
          <w:bCs/>
        </w:rPr>
        <w:t>qualify</w:t>
      </w:r>
      <w:r w:rsidR="5D86ED87" w:rsidRPr="0B9E13D9">
        <w:rPr>
          <w:b/>
          <w:bCs/>
        </w:rPr>
        <w:t>ing</w:t>
      </w:r>
      <w:r w:rsidRPr="0B9E13D9">
        <w:rPr>
          <w:b/>
          <w:bCs/>
        </w:rPr>
        <w:t xml:space="preserve"> an SLL under </w:t>
      </w:r>
      <w:r w:rsidR="7D715EA0" w:rsidRPr="0B9E13D9">
        <w:rPr>
          <w:b/>
          <w:bCs/>
        </w:rPr>
        <w:t xml:space="preserve">the </w:t>
      </w:r>
      <w:r w:rsidR="005F40B2" w:rsidRPr="0B9E13D9">
        <w:rPr>
          <w:b/>
          <w:bCs/>
        </w:rPr>
        <w:t xml:space="preserve">NIB </w:t>
      </w:r>
      <w:r w:rsidR="23D7CF72" w:rsidRPr="0B9E13D9">
        <w:rPr>
          <w:b/>
          <w:bCs/>
        </w:rPr>
        <w:t xml:space="preserve">SLLB </w:t>
      </w:r>
      <w:r w:rsidR="00C26E69" w:rsidRPr="0B9E13D9">
        <w:rPr>
          <w:b/>
          <w:bCs/>
        </w:rPr>
        <w:t>F</w:t>
      </w:r>
      <w:r w:rsidRPr="0B9E13D9">
        <w:rPr>
          <w:b/>
          <w:bCs/>
        </w:rPr>
        <w:t>ramework?</w:t>
      </w:r>
    </w:p>
    <w:p w14:paraId="2B3E8C0D" w14:textId="6EB5F8D0" w:rsidR="28996EE0" w:rsidRDefault="007674F2" w:rsidP="001D3AC7">
      <w:pPr>
        <w:shd w:val="clear" w:color="auto" w:fill="FFFFFF" w:themeFill="background1"/>
        <w:spacing w:after="120" w:line="240" w:lineRule="auto"/>
        <w:jc w:val="both"/>
      </w:pPr>
      <w:hyperlink r:id="rId20" w:history="1">
        <w:r w:rsidR="005F40B2" w:rsidRPr="007674F2">
          <w:rPr>
            <w:rStyle w:val="Hyperlink"/>
            <w:rFonts w:eastAsiaTheme="minorEastAsia"/>
            <w:szCs w:val="22"/>
          </w:rPr>
          <w:t>NIB SLLB F</w:t>
        </w:r>
        <w:r w:rsidR="28996EE0" w:rsidRPr="007674F2">
          <w:rPr>
            <w:rStyle w:val="Hyperlink"/>
            <w:rFonts w:eastAsiaTheme="minorEastAsia"/>
            <w:szCs w:val="22"/>
          </w:rPr>
          <w:t>ramework</w:t>
        </w:r>
      </w:hyperlink>
      <w:r w:rsidR="28996EE0" w:rsidRPr="186A95AF">
        <w:rPr>
          <w:rFonts w:eastAsiaTheme="minorEastAsia"/>
          <w:szCs w:val="22"/>
        </w:rPr>
        <w:t xml:space="preserve"> establishes eight eligibility criteria tha</w:t>
      </w:r>
      <w:r w:rsidR="00C26E69">
        <w:rPr>
          <w:rFonts w:eastAsiaTheme="minorEastAsia"/>
          <w:szCs w:val="22"/>
        </w:rPr>
        <w:t>t SLLs</w:t>
      </w:r>
      <w:r w:rsidR="28996EE0" w:rsidRPr="186A95AF">
        <w:rPr>
          <w:rFonts w:eastAsiaTheme="minorEastAsia"/>
          <w:szCs w:val="22"/>
        </w:rPr>
        <w:t xml:space="preserve"> must meet to qualify for inclusion in the NIB SLL Eligible Portfolio:</w:t>
      </w:r>
    </w:p>
    <w:p w14:paraId="7D0E2918" w14:textId="112C5F40" w:rsidR="28996EE0" w:rsidRDefault="28996EE0" w:rsidP="001D3AC7">
      <w:pPr>
        <w:pStyle w:val="ListParagraph"/>
        <w:numPr>
          <w:ilvl w:val="0"/>
          <w:numId w:val="10"/>
        </w:numPr>
        <w:shd w:val="clear" w:color="auto" w:fill="FFFFFF" w:themeFill="background1"/>
        <w:spacing w:after="120" w:line="240" w:lineRule="auto"/>
        <w:contextualSpacing w:val="0"/>
        <w:jc w:val="both"/>
      </w:pPr>
      <w:r w:rsidRPr="186A95AF">
        <w:rPr>
          <w:rFonts w:eastAsiaTheme="minorEastAsia"/>
          <w:b/>
          <w:bCs/>
          <w:szCs w:val="22"/>
        </w:rPr>
        <w:t xml:space="preserve">Alignment with the </w:t>
      </w:r>
      <w:r w:rsidRPr="186A95AF">
        <w:rPr>
          <w:rFonts w:eastAsiaTheme="minorEastAsia"/>
          <w:b/>
          <w:bCs/>
          <w:szCs w:val="22"/>
          <w:lang w:val="en-GB"/>
        </w:rPr>
        <w:t>Sustainability-linked Loan Principles (</w:t>
      </w:r>
      <w:r w:rsidRPr="186A95AF">
        <w:rPr>
          <w:rFonts w:eastAsiaTheme="minorEastAsia"/>
          <w:b/>
          <w:bCs/>
          <w:szCs w:val="22"/>
        </w:rPr>
        <w:t xml:space="preserve">SLLP): </w:t>
      </w:r>
      <w:r w:rsidRPr="186A95AF">
        <w:rPr>
          <w:rFonts w:eastAsiaTheme="minorEastAsia"/>
          <w:szCs w:val="22"/>
        </w:rPr>
        <w:t>SLLs must adhere to the SLLP.</w:t>
      </w:r>
    </w:p>
    <w:p w14:paraId="6A18C410" w14:textId="6F9D0E61" w:rsidR="28996EE0" w:rsidRDefault="28996EE0" w:rsidP="001D3AC7">
      <w:pPr>
        <w:pStyle w:val="ListParagraph"/>
        <w:numPr>
          <w:ilvl w:val="0"/>
          <w:numId w:val="10"/>
        </w:numPr>
        <w:shd w:val="clear" w:color="auto" w:fill="FFFFFF" w:themeFill="background1"/>
        <w:spacing w:after="120" w:line="240" w:lineRule="auto"/>
        <w:contextualSpacing w:val="0"/>
        <w:jc w:val="both"/>
      </w:pPr>
      <w:r w:rsidRPr="186A95AF">
        <w:rPr>
          <w:rFonts w:eastAsiaTheme="minorEastAsia"/>
          <w:b/>
          <w:bCs/>
          <w:szCs w:val="22"/>
        </w:rPr>
        <w:t xml:space="preserve">Sustainability Objective: </w:t>
      </w:r>
      <w:r w:rsidRPr="186A95AF">
        <w:rPr>
          <w:rFonts w:eastAsiaTheme="minorEastAsia"/>
          <w:szCs w:val="22"/>
        </w:rPr>
        <w:t>Each SLL must align with the single sustainability objective of “Reducing climate change impacts.”</w:t>
      </w:r>
      <w:r w:rsidR="001B0215">
        <w:rPr>
          <w:rFonts w:eastAsiaTheme="minorEastAsia"/>
          <w:szCs w:val="22"/>
        </w:rPr>
        <w:t xml:space="preserve"> </w:t>
      </w:r>
      <w:r w:rsidR="00067346" w:rsidRPr="00F65BAF">
        <w:rPr>
          <w:rFonts w:eastAsiaTheme="minorEastAsia"/>
          <w:szCs w:val="22"/>
        </w:rPr>
        <w:t>This objective</w:t>
      </w:r>
      <w:r w:rsidR="00F65BAF" w:rsidRPr="00F65BAF">
        <w:rPr>
          <w:rFonts w:eastAsiaTheme="minorEastAsia"/>
          <w:szCs w:val="22"/>
        </w:rPr>
        <w:t xml:space="preserve"> therefore </w:t>
      </w:r>
      <w:r w:rsidR="00067346">
        <w:rPr>
          <w:rFonts w:eastAsiaTheme="minorEastAsia"/>
          <w:szCs w:val="22"/>
        </w:rPr>
        <w:t>has a</w:t>
      </w:r>
      <w:r w:rsidR="00F65BAF" w:rsidRPr="00F65BAF">
        <w:rPr>
          <w:rFonts w:eastAsiaTheme="minorEastAsia"/>
          <w:szCs w:val="22"/>
        </w:rPr>
        <w:t xml:space="preserve"> direct impact </w:t>
      </w:r>
      <w:r w:rsidR="00B42419" w:rsidRPr="00F65BAF">
        <w:rPr>
          <w:rFonts w:eastAsiaTheme="minorEastAsia"/>
          <w:szCs w:val="22"/>
        </w:rPr>
        <w:t>on</w:t>
      </w:r>
      <w:r w:rsidR="00F65BAF" w:rsidRPr="00F65BAF">
        <w:rPr>
          <w:rFonts w:eastAsiaTheme="minorEastAsia"/>
          <w:szCs w:val="22"/>
        </w:rPr>
        <w:t xml:space="preserve"> SGD 13, Climate action.</w:t>
      </w:r>
    </w:p>
    <w:p w14:paraId="32302F64" w14:textId="2C7CC360" w:rsidR="28996EE0" w:rsidRDefault="28996EE0" w:rsidP="001D3AC7">
      <w:pPr>
        <w:pStyle w:val="ListParagraph"/>
        <w:numPr>
          <w:ilvl w:val="0"/>
          <w:numId w:val="10"/>
        </w:numPr>
        <w:shd w:val="clear" w:color="auto" w:fill="FFFFFF" w:themeFill="background1"/>
        <w:spacing w:after="120" w:line="240" w:lineRule="auto"/>
        <w:contextualSpacing w:val="0"/>
        <w:jc w:val="both"/>
      </w:pPr>
      <w:r w:rsidRPr="3290F2F8">
        <w:rPr>
          <w:rFonts w:eastAsiaTheme="minorEastAsia"/>
          <w:b/>
          <w:bCs/>
        </w:rPr>
        <w:t xml:space="preserve">Core KPI Requirement: </w:t>
      </w:r>
      <w:r w:rsidRPr="3290F2F8">
        <w:rPr>
          <w:rFonts w:eastAsiaTheme="minorEastAsia"/>
        </w:rPr>
        <w:t xml:space="preserve">Eligible SLLs must include at least one Core KPI that meets the requirements outlined in </w:t>
      </w:r>
      <w:r w:rsidR="005F40B2">
        <w:rPr>
          <w:rFonts w:eastAsiaTheme="minorEastAsia"/>
        </w:rPr>
        <w:t>NIB SLLB</w:t>
      </w:r>
      <w:r w:rsidRPr="3290F2F8">
        <w:rPr>
          <w:rFonts w:eastAsiaTheme="minorEastAsia"/>
        </w:rPr>
        <w:t xml:space="preserve"> </w:t>
      </w:r>
      <w:r w:rsidR="00D272A8" w:rsidRPr="3290F2F8">
        <w:rPr>
          <w:rFonts w:eastAsiaTheme="minorEastAsia"/>
        </w:rPr>
        <w:t>Framework.</w:t>
      </w:r>
    </w:p>
    <w:p w14:paraId="1A8A27D9" w14:textId="1D6EFA44" w:rsidR="28996EE0" w:rsidRDefault="28996EE0" w:rsidP="001D3AC7">
      <w:pPr>
        <w:pStyle w:val="ListParagraph"/>
        <w:numPr>
          <w:ilvl w:val="0"/>
          <w:numId w:val="10"/>
        </w:numPr>
        <w:shd w:val="clear" w:color="auto" w:fill="FFFFFF" w:themeFill="background1"/>
        <w:spacing w:after="120" w:line="240" w:lineRule="auto"/>
        <w:contextualSpacing w:val="0"/>
        <w:jc w:val="both"/>
      </w:pPr>
      <w:r w:rsidRPr="186A95AF">
        <w:rPr>
          <w:rFonts w:eastAsiaTheme="minorEastAsia"/>
          <w:b/>
          <w:bCs/>
          <w:szCs w:val="22"/>
        </w:rPr>
        <w:t xml:space="preserve">Optional Secondary KPIs: </w:t>
      </w:r>
      <w:r w:rsidRPr="186A95AF">
        <w:rPr>
          <w:rFonts w:eastAsiaTheme="minorEastAsia"/>
          <w:szCs w:val="22"/>
        </w:rPr>
        <w:t>SLLs may include secondary KPIs related to other material topics for the borrower; however, these are not mandatory.</w:t>
      </w:r>
    </w:p>
    <w:p w14:paraId="3B7202D2" w14:textId="165CDA1D" w:rsidR="28996EE0" w:rsidRDefault="28996EE0" w:rsidP="001D3AC7">
      <w:pPr>
        <w:pStyle w:val="ListParagraph"/>
        <w:numPr>
          <w:ilvl w:val="0"/>
          <w:numId w:val="10"/>
        </w:numPr>
        <w:shd w:val="clear" w:color="auto" w:fill="FFFFFF" w:themeFill="background1"/>
        <w:spacing w:after="120" w:line="240" w:lineRule="auto"/>
        <w:contextualSpacing w:val="0"/>
        <w:jc w:val="both"/>
      </w:pPr>
      <w:r w:rsidRPr="186A95AF">
        <w:rPr>
          <w:rFonts w:eastAsiaTheme="minorEastAsia"/>
          <w:b/>
          <w:bCs/>
          <w:szCs w:val="22"/>
        </w:rPr>
        <w:t>Forward-Looking Performance Assessment:</w:t>
      </w:r>
      <w:r w:rsidRPr="186A95AF">
        <w:rPr>
          <w:rFonts w:eastAsiaTheme="minorEastAsia"/>
          <w:szCs w:val="22"/>
        </w:rPr>
        <w:t xml:space="preserve"> Each SLL must have at least one remaining trigger point for a Core KPI, ensuring a forward-looking performance evaluation.</w:t>
      </w:r>
    </w:p>
    <w:p w14:paraId="73A70B08" w14:textId="6EE46C2F" w:rsidR="28996EE0" w:rsidRDefault="28996EE0" w:rsidP="001D3AC7">
      <w:pPr>
        <w:pStyle w:val="ListParagraph"/>
        <w:numPr>
          <w:ilvl w:val="0"/>
          <w:numId w:val="10"/>
        </w:numPr>
        <w:shd w:val="clear" w:color="auto" w:fill="FFFFFF" w:themeFill="background1"/>
        <w:spacing w:after="120" w:line="240" w:lineRule="auto"/>
        <w:contextualSpacing w:val="0"/>
        <w:jc w:val="both"/>
      </w:pPr>
      <w:r w:rsidRPr="186A95AF">
        <w:rPr>
          <w:rFonts w:eastAsiaTheme="minorEastAsia"/>
          <w:b/>
          <w:bCs/>
          <w:szCs w:val="22"/>
        </w:rPr>
        <w:t>Compliance with NIB Policies:</w:t>
      </w:r>
      <w:r w:rsidRPr="186A95AF">
        <w:rPr>
          <w:rFonts w:eastAsiaTheme="minorEastAsia"/>
          <w:szCs w:val="22"/>
        </w:rPr>
        <w:t xml:space="preserve"> All eligible SLLs must comply with </w:t>
      </w:r>
      <w:hyperlink r:id="rId21" w:history="1">
        <w:r w:rsidRPr="00D44549">
          <w:rPr>
            <w:rStyle w:val="Hyperlink"/>
            <w:rFonts w:eastAsiaTheme="minorEastAsia"/>
            <w:szCs w:val="22"/>
          </w:rPr>
          <w:t>NIB’s Sustainability Policy</w:t>
        </w:r>
      </w:hyperlink>
      <w:r w:rsidRPr="186A95AF">
        <w:rPr>
          <w:rFonts w:eastAsiaTheme="minorEastAsia"/>
          <w:szCs w:val="22"/>
        </w:rPr>
        <w:t xml:space="preserve"> and exclusion list. Additionally, the borrower must demonstrate adequate ESG performance and must not hinder NIB’s ability to achieve its climate targets.</w:t>
      </w:r>
    </w:p>
    <w:p w14:paraId="46EF2A1E" w14:textId="3D3798BB" w:rsidR="28996EE0" w:rsidRDefault="28996EE0" w:rsidP="001D3AC7">
      <w:pPr>
        <w:pStyle w:val="ListParagraph"/>
        <w:numPr>
          <w:ilvl w:val="0"/>
          <w:numId w:val="10"/>
        </w:numPr>
        <w:shd w:val="clear" w:color="auto" w:fill="FFFFFF" w:themeFill="background1"/>
        <w:spacing w:after="120" w:line="240" w:lineRule="auto"/>
        <w:contextualSpacing w:val="0"/>
        <w:jc w:val="both"/>
      </w:pPr>
      <w:r w:rsidRPr="186A95AF">
        <w:rPr>
          <w:rFonts w:eastAsiaTheme="minorEastAsia"/>
          <w:b/>
          <w:bCs/>
          <w:szCs w:val="22"/>
        </w:rPr>
        <w:t>Mandate Rating:</w:t>
      </w:r>
      <w:r w:rsidRPr="186A95AF">
        <w:rPr>
          <w:rFonts w:eastAsiaTheme="minorEastAsia"/>
          <w:szCs w:val="22"/>
        </w:rPr>
        <w:t xml:space="preserve"> SLLs must achieve a mandate rating of “Good” or “Excellent” in NIB’s internal assessment process.</w:t>
      </w:r>
    </w:p>
    <w:p w14:paraId="38175500" w14:textId="10F1A849" w:rsidR="28996EE0" w:rsidRPr="00B42419" w:rsidRDefault="28996EE0" w:rsidP="001D3AC7">
      <w:pPr>
        <w:pStyle w:val="ListParagraph"/>
        <w:numPr>
          <w:ilvl w:val="0"/>
          <w:numId w:val="10"/>
        </w:numPr>
        <w:shd w:val="clear" w:color="auto" w:fill="FFFFFF" w:themeFill="background1"/>
        <w:spacing w:after="120" w:line="240" w:lineRule="auto"/>
        <w:contextualSpacing w:val="0"/>
        <w:jc w:val="both"/>
      </w:pPr>
      <w:r w:rsidRPr="186A95AF">
        <w:rPr>
          <w:rFonts w:eastAsiaTheme="minorEastAsia"/>
          <w:b/>
          <w:bCs/>
          <w:szCs w:val="22"/>
        </w:rPr>
        <w:t>Sector Eligibility:</w:t>
      </w:r>
      <w:r w:rsidRPr="186A95AF">
        <w:rPr>
          <w:rFonts w:eastAsiaTheme="minorEastAsia"/>
          <w:szCs w:val="22"/>
        </w:rPr>
        <w:t xml:space="preserve"> SLLs must not originate from sectors listed on </w:t>
      </w:r>
      <w:hyperlink r:id="rId22" w:history="1">
        <w:r w:rsidRPr="00D44549">
          <w:rPr>
            <w:rStyle w:val="Hyperlink"/>
            <w:rFonts w:eastAsiaTheme="minorEastAsia"/>
            <w:szCs w:val="22"/>
          </w:rPr>
          <w:t>NIB’s Sustainability Policy</w:t>
        </w:r>
      </w:hyperlink>
      <w:r w:rsidRPr="186A95AF">
        <w:rPr>
          <w:rFonts w:eastAsiaTheme="minorEastAsia"/>
          <w:szCs w:val="22"/>
        </w:rPr>
        <w:t xml:space="preserve"> exclusion list. Furthermore, borrowers operating in the defense sector are not eligible for inclusion in the SLL Eligible Portfolio.</w:t>
      </w:r>
    </w:p>
    <w:p w14:paraId="690095A7" w14:textId="4C2D44F3" w:rsidR="00B42419" w:rsidRPr="00B42419" w:rsidRDefault="00B42419" w:rsidP="001D3AC7">
      <w:pPr>
        <w:pStyle w:val="ListParagraph"/>
        <w:shd w:val="clear" w:color="auto" w:fill="FFFFFF" w:themeFill="background1"/>
        <w:spacing w:after="120" w:line="240" w:lineRule="auto"/>
        <w:contextualSpacing w:val="0"/>
        <w:jc w:val="both"/>
      </w:pPr>
    </w:p>
    <w:p w14:paraId="567ACC8B" w14:textId="1B70DF76" w:rsidR="002B0F5C" w:rsidRPr="00B67CAB" w:rsidRDefault="00AE2979" w:rsidP="0B9E13D9">
      <w:pPr>
        <w:pStyle w:val="ListParagraph"/>
        <w:numPr>
          <w:ilvl w:val="1"/>
          <w:numId w:val="15"/>
        </w:numPr>
        <w:spacing w:after="120" w:line="240" w:lineRule="auto"/>
        <w:ind w:left="426" w:hanging="426"/>
        <w:rPr>
          <w:b/>
          <w:bCs/>
        </w:rPr>
      </w:pPr>
      <w:r w:rsidRPr="0B9E13D9">
        <w:rPr>
          <w:b/>
          <w:bCs/>
        </w:rPr>
        <w:t>With SLLBG’s approach 1, how do</w:t>
      </w:r>
      <w:r w:rsidR="078EEB04" w:rsidRPr="0B9E13D9">
        <w:rPr>
          <w:b/>
          <w:bCs/>
        </w:rPr>
        <w:t>es NIB</w:t>
      </w:r>
      <w:r w:rsidRPr="0B9E13D9">
        <w:rPr>
          <w:b/>
          <w:bCs/>
        </w:rPr>
        <w:t xml:space="preserve"> ensure all eligible SLLs have ambitious targets and relevant KPIs?</w:t>
      </w:r>
    </w:p>
    <w:p w14:paraId="52DE01B7" w14:textId="363A8C89" w:rsidR="004A2E06" w:rsidRPr="00B67CAB" w:rsidRDefault="4B8A2AE1" w:rsidP="001D3AC7">
      <w:pPr>
        <w:spacing w:after="120" w:line="240" w:lineRule="auto"/>
        <w:jc w:val="both"/>
        <w:rPr>
          <w:rFonts w:eastAsia="Segoe UI" w:cs="Segoe UI"/>
        </w:rPr>
      </w:pPr>
      <w:r w:rsidRPr="0B9E13D9">
        <w:rPr>
          <w:rFonts w:eastAsia="Segoe UI" w:cs="Segoe UI"/>
        </w:rPr>
        <w:t xml:space="preserve">The requirements for Core KPIs and their SPTs, along with NIB’s mandate rating criteria (which only include SLLs rated “Good” or “Excellent”), ensure the eligibility and ambition of SLLs. NIB has developed a mandate rating approach for SLLs that incorporates these criteria, and it </w:t>
      </w:r>
      <w:r w:rsidR="00D272A8" w:rsidRPr="0B9E13D9">
        <w:rPr>
          <w:rFonts w:eastAsia="Segoe UI" w:cs="Segoe UI"/>
        </w:rPr>
        <w:t xml:space="preserve">is explained in </w:t>
      </w:r>
      <w:r w:rsidR="24CF437F" w:rsidRPr="0B9E13D9">
        <w:rPr>
          <w:rFonts w:eastAsia="Segoe UI" w:cs="Segoe UI"/>
        </w:rPr>
        <w:t>NIB’s</w:t>
      </w:r>
      <w:r w:rsidRPr="0B9E13D9">
        <w:rPr>
          <w:rFonts w:eastAsia="Segoe UI" w:cs="Segoe UI"/>
        </w:rPr>
        <w:t xml:space="preserve"> </w:t>
      </w:r>
      <w:hyperlink r:id="rId23">
        <w:r w:rsidRPr="0B9E13D9">
          <w:rPr>
            <w:rStyle w:val="Hyperlink"/>
            <w:rFonts w:eastAsia="Segoe UI" w:cs="Segoe UI"/>
          </w:rPr>
          <w:t>Summary of Annex.</w:t>
        </w:r>
      </w:hyperlink>
      <w:r w:rsidRPr="0B9E13D9">
        <w:rPr>
          <w:rFonts w:eastAsia="Segoe UI" w:cs="Segoe UI"/>
        </w:rPr>
        <w:t xml:space="preserve"> </w:t>
      </w:r>
    </w:p>
    <w:p w14:paraId="16F93E6F" w14:textId="056C9944" w:rsidR="004A2E06" w:rsidRPr="00B67CAB" w:rsidRDefault="582163E0" w:rsidP="001D3AC7">
      <w:pPr>
        <w:shd w:val="clear" w:color="auto" w:fill="FFFFFF" w:themeFill="background1"/>
        <w:spacing w:after="120" w:line="240" w:lineRule="auto"/>
      </w:pPr>
      <w:r w:rsidRPr="00B67CAB">
        <w:rPr>
          <w:rFonts w:eastAsia="Segoe UI" w:cs="Segoe UI"/>
          <w:szCs w:val="22"/>
        </w:rPr>
        <w:t>All SPTs for Core KPIs must meet the following cumulative ambition requirements:</w:t>
      </w:r>
    </w:p>
    <w:p w14:paraId="1354FBAD" w14:textId="760BFCAA" w:rsidR="004A2E06" w:rsidRPr="00B67CAB" w:rsidRDefault="582163E0" w:rsidP="001D3AC7">
      <w:pPr>
        <w:pStyle w:val="ListParagraph"/>
        <w:numPr>
          <w:ilvl w:val="0"/>
          <w:numId w:val="5"/>
        </w:numPr>
        <w:shd w:val="clear" w:color="auto" w:fill="FFFFFF" w:themeFill="background1"/>
        <w:spacing w:after="120" w:line="240" w:lineRule="auto"/>
        <w:contextualSpacing w:val="0"/>
        <w:rPr>
          <w:rFonts w:eastAsia="Segoe UI" w:cs="Segoe UI"/>
          <w:szCs w:val="22"/>
        </w:rPr>
      </w:pPr>
      <w:r w:rsidRPr="00B67CAB">
        <w:rPr>
          <w:rFonts w:eastAsia="Segoe UI" w:cs="Segoe UI"/>
          <w:b/>
          <w:bCs/>
          <w:szCs w:val="22"/>
        </w:rPr>
        <w:t>Material Emission Reductions:</w:t>
      </w:r>
      <w:r w:rsidRPr="00B67CAB">
        <w:rPr>
          <w:rFonts w:eastAsia="Segoe UI" w:cs="Segoe UI"/>
          <w:szCs w:val="22"/>
        </w:rPr>
        <w:t xml:space="preserve"> SPTs must address material emission scopes, resulting in significant or transformational impact.</w:t>
      </w:r>
    </w:p>
    <w:p w14:paraId="304EC708" w14:textId="21448F7C" w:rsidR="004A2E06" w:rsidRPr="00B67CAB" w:rsidRDefault="582163E0" w:rsidP="001D3AC7">
      <w:pPr>
        <w:pStyle w:val="ListParagraph"/>
        <w:numPr>
          <w:ilvl w:val="0"/>
          <w:numId w:val="5"/>
        </w:numPr>
        <w:shd w:val="clear" w:color="auto" w:fill="FFFFFF" w:themeFill="background1"/>
        <w:spacing w:after="120" w:line="240" w:lineRule="auto"/>
        <w:contextualSpacing w:val="0"/>
        <w:rPr>
          <w:rFonts w:eastAsia="Segoe UI" w:cs="Segoe UI"/>
          <w:szCs w:val="22"/>
        </w:rPr>
      </w:pPr>
      <w:r w:rsidRPr="00B67CAB">
        <w:rPr>
          <w:rFonts w:eastAsia="Segoe UI" w:cs="Segoe UI"/>
          <w:b/>
          <w:bCs/>
          <w:szCs w:val="22"/>
        </w:rPr>
        <w:t>Science-Based Alignment:</w:t>
      </w:r>
      <w:r w:rsidRPr="00B67CAB">
        <w:rPr>
          <w:rFonts w:eastAsia="Segoe UI" w:cs="Segoe UI"/>
          <w:szCs w:val="22"/>
        </w:rPr>
        <w:t xml:space="preserve"> SPTs must align with the </w:t>
      </w:r>
      <w:r w:rsidR="00A467DF">
        <w:rPr>
          <w:rFonts w:eastAsia="Segoe UI" w:cs="Segoe UI"/>
          <w:szCs w:val="22"/>
        </w:rPr>
        <w:t>SBTi</w:t>
      </w:r>
      <w:r w:rsidRPr="00B67CAB">
        <w:rPr>
          <w:rFonts w:eastAsia="Segoe UI" w:cs="Segoe UI"/>
          <w:szCs w:val="22"/>
        </w:rPr>
        <w:t xml:space="preserve"> or equivalent methodologies.</w:t>
      </w:r>
    </w:p>
    <w:p w14:paraId="7ECFD510" w14:textId="465F2F3F" w:rsidR="004A2E06" w:rsidRPr="00B67CAB" w:rsidRDefault="582163E0" w:rsidP="001D3AC7">
      <w:pPr>
        <w:pStyle w:val="ListParagraph"/>
        <w:numPr>
          <w:ilvl w:val="0"/>
          <w:numId w:val="5"/>
        </w:numPr>
        <w:shd w:val="clear" w:color="auto" w:fill="FFFFFF" w:themeFill="background1"/>
        <w:spacing w:after="120" w:line="240" w:lineRule="auto"/>
        <w:contextualSpacing w:val="0"/>
        <w:rPr>
          <w:rFonts w:eastAsia="Segoe UI" w:cs="Segoe UI"/>
          <w:szCs w:val="22"/>
        </w:rPr>
      </w:pPr>
      <w:r w:rsidRPr="00B67CAB">
        <w:rPr>
          <w:rFonts w:eastAsia="Segoe UI" w:cs="Segoe UI"/>
          <w:b/>
          <w:bCs/>
          <w:szCs w:val="22"/>
        </w:rPr>
        <w:t>Paris Agreement Compliance:</w:t>
      </w:r>
      <w:r w:rsidRPr="00B67CAB">
        <w:rPr>
          <w:rFonts w:eastAsia="Segoe UI" w:cs="Segoe UI"/>
          <w:szCs w:val="22"/>
        </w:rPr>
        <w:t xml:space="preserve"> SPTs must align with a 1.5°C pathway. A 2°C pathway is allowed only if no sector-specific 1.5°C pathway is available.</w:t>
      </w:r>
    </w:p>
    <w:p w14:paraId="64ABA942" w14:textId="123E5076" w:rsidR="004A2E06" w:rsidRPr="00B67CAB" w:rsidRDefault="582163E0" w:rsidP="001D3AC7">
      <w:pPr>
        <w:pStyle w:val="ListParagraph"/>
        <w:numPr>
          <w:ilvl w:val="0"/>
          <w:numId w:val="5"/>
        </w:numPr>
        <w:shd w:val="clear" w:color="auto" w:fill="FFFFFF" w:themeFill="background1"/>
        <w:spacing w:after="120" w:line="240" w:lineRule="auto"/>
        <w:contextualSpacing w:val="0"/>
        <w:rPr>
          <w:rFonts w:eastAsia="Segoe UI" w:cs="Segoe UI"/>
          <w:szCs w:val="22"/>
        </w:rPr>
      </w:pPr>
      <w:r w:rsidRPr="00B67CAB">
        <w:rPr>
          <w:rFonts w:eastAsia="Segoe UI" w:cs="Segoe UI"/>
          <w:b/>
          <w:bCs/>
          <w:szCs w:val="22"/>
        </w:rPr>
        <w:t>Benchmarking:</w:t>
      </w:r>
      <w:r w:rsidRPr="00B67CAB">
        <w:rPr>
          <w:rFonts w:eastAsia="Segoe UI" w:cs="Segoe UI"/>
          <w:szCs w:val="22"/>
        </w:rPr>
        <w:t xml:space="preserve"> SPTs must meet or exceed benchmarks, such as SBTi targets, peer performance, or industry standards.</w:t>
      </w:r>
    </w:p>
    <w:p w14:paraId="0B6B9A2C" w14:textId="5BA12D04" w:rsidR="004A2E06" w:rsidRPr="00B67CAB" w:rsidRDefault="582163E0" w:rsidP="001D3AC7">
      <w:pPr>
        <w:pStyle w:val="ListParagraph"/>
        <w:numPr>
          <w:ilvl w:val="0"/>
          <w:numId w:val="5"/>
        </w:numPr>
        <w:shd w:val="clear" w:color="auto" w:fill="FFFFFF" w:themeFill="background1"/>
        <w:spacing w:after="120" w:line="240" w:lineRule="auto"/>
        <w:contextualSpacing w:val="0"/>
        <w:rPr>
          <w:rFonts w:eastAsia="Segoe UI" w:cs="Segoe UI"/>
          <w:szCs w:val="22"/>
        </w:rPr>
      </w:pPr>
      <w:r w:rsidRPr="00B67CAB">
        <w:rPr>
          <w:rFonts w:eastAsia="Segoe UI" w:cs="Segoe UI"/>
          <w:b/>
          <w:bCs/>
          <w:szCs w:val="22"/>
        </w:rPr>
        <w:t xml:space="preserve">Consistency with NIB’s </w:t>
      </w:r>
      <w:hyperlink r:id="rId24" w:history="1">
        <w:r w:rsidRPr="00F43353">
          <w:rPr>
            <w:rStyle w:val="Hyperlink"/>
            <w:rFonts w:eastAsia="Segoe UI" w:cs="Segoe UI"/>
            <w:b/>
            <w:bCs/>
            <w:szCs w:val="22"/>
          </w:rPr>
          <w:t>Climate Strategy</w:t>
        </w:r>
      </w:hyperlink>
      <w:r w:rsidRPr="00B67CAB">
        <w:rPr>
          <w:rFonts w:eastAsia="Segoe UI" w:cs="Segoe UI"/>
          <w:b/>
          <w:bCs/>
          <w:szCs w:val="22"/>
        </w:rPr>
        <w:t>:</w:t>
      </w:r>
      <w:r w:rsidRPr="00B67CAB">
        <w:rPr>
          <w:rFonts w:eastAsia="Segoe UI" w:cs="Segoe UI"/>
          <w:szCs w:val="22"/>
        </w:rPr>
        <w:t xml:space="preserve"> SPTs must align with NIB’s climate objectives.</w:t>
      </w:r>
    </w:p>
    <w:p w14:paraId="3202A95B" w14:textId="60FDEF0A" w:rsidR="004A2E06" w:rsidRPr="00B67CAB" w:rsidRDefault="4B8A2AE1" w:rsidP="001D3AC7">
      <w:pPr>
        <w:shd w:val="clear" w:color="auto" w:fill="FFFFFF" w:themeFill="background1"/>
        <w:spacing w:after="120" w:line="240" w:lineRule="auto"/>
        <w:jc w:val="both"/>
        <w:rPr>
          <w:rFonts w:eastAsia="Segoe UI" w:cs="Segoe UI"/>
          <w:szCs w:val="22"/>
        </w:rPr>
      </w:pPr>
      <w:r w:rsidRPr="00B67CAB">
        <w:rPr>
          <w:rFonts w:eastAsia="Segoe UI" w:cs="Segoe UI"/>
          <w:szCs w:val="22"/>
        </w:rPr>
        <w:t>NIB has defined acceptable KPIs and SPTs for reducing or avoiding</w:t>
      </w:r>
      <w:r w:rsidR="00793095">
        <w:rPr>
          <w:rFonts w:eastAsia="Segoe UI" w:cs="Segoe UI"/>
          <w:szCs w:val="22"/>
        </w:rPr>
        <w:t xml:space="preserve"> GHG</w:t>
      </w:r>
      <w:r w:rsidRPr="00B67CAB">
        <w:rPr>
          <w:rFonts w:eastAsia="Segoe UI" w:cs="Segoe UI"/>
          <w:szCs w:val="22"/>
        </w:rPr>
        <w:t xml:space="preserve"> emissions, ensuring they cover material emissions.</w:t>
      </w:r>
    </w:p>
    <w:p w14:paraId="0B2CDC16" w14:textId="4EED160D" w:rsidR="004A2E06" w:rsidRPr="00B67CAB" w:rsidRDefault="4B8A2AE1" w:rsidP="001D3AC7">
      <w:pPr>
        <w:pStyle w:val="ListParagraph"/>
        <w:numPr>
          <w:ilvl w:val="0"/>
          <w:numId w:val="4"/>
        </w:numPr>
        <w:shd w:val="clear" w:color="auto" w:fill="FFFFFF" w:themeFill="background1"/>
        <w:spacing w:after="120" w:line="240" w:lineRule="auto"/>
        <w:contextualSpacing w:val="0"/>
        <w:jc w:val="both"/>
        <w:rPr>
          <w:rFonts w:eastAsia="Segoe UI" w:cs="Segoe UI"/>
          <w:szCs w:val="22"/>
        </w:rPr>
      </w:pPr>
      <w:r w:rsidRPr="00B67CAB">
        <w:rPr>
          <w:rFonts w:eastAsia="Segoe UI" w:cs="Segoe UI"/>
          <w:b/>
          <w:bCs/>
          <w:szCs w:val="22"/>
        </w:rPr>
        <w:t xml:space="preserve">Scope 1 and 2 GHG emissions </w:t>
      </w:r>
      <w:r w:rsidRPr="00B67CAB">
        <w:rPr>
          <w:rFonts w:eastAsia="Segoe UI" w:cs="Segoe UI"/>
          <w:szCs w:val="22"/>
        </w:rPr>
        <w:t xml:space="preserve">KPIs are applicable for borrowers whose Scope 1 and 2 emissions constitute </w:t>
      </w:r>
      <w:proofErr w:type="gramStart"/>
      <w:r w:rsidRPr="00B67CAB">
        <w:rPr>
          <w:rFonts w:eastAsia="Segoe UI" w:cs="Segoe UI"/>
          <w:szCs w:val="22"/>
        </w:rPr>
        <w:t>the majority of</w:t>
      </w:r>
      <w:proofErr w:type="gramEnd"/>
      <w:r w:rsidRPr="00B67CAB">
        <w:rPr>
          <w:rFonts w:eastAsia="Segoe UI" w:cs="Segoe UI"/>
          <w:szCs w:val="22"/>
        </w:rPr>
        <w:t xml:space="preserve"> their total greenhouse gas emissions (e.g., more than 50%). These KPIs may also be used in addition to a Scope 3 KPI to ensure comprehensive emission coverage. The </w:t>
      </w:r>
      <w:r w:rsidR="2F1EC22A" w:rsidRPr="00B67CAB">
        <w:rPr>
          <w:rFonts w:eastAsia="Segoe UI" w:cs="Segoe UI"/>
          <w:szCs w:val="22"/>
        </w:rPr>
        <w:t xml:space="preserve">SPTs </w:t>
      </w:r>
      <w:r w:rsidRPr="00B67CAB">
        <w:rPr>
          <w:rFonts w:eastAsia="Segoe UI" w:cs="Segoe UI"/>
          <w:szCs w:val="22"/>
        </w:rPr>
        <w:t>must cover at least 90% of Scope 1 and 2 emissions and can be measured using either absolute or intensity-based metrics.</w:t>
      </w:r>
    </w:p>
    <w:p w14:paraId="68C97FF9" w14:textId="05D92419" w:rsidR="004A2E06" w:rsidRPr="00B67CAB" w:rsidRDefault="4B8A2AE1" w:rsidP="001D3AC7">
      <w:pPr>
        <w:pStyle w:val="ListParagraph"/>
        <w:numPr>
          <w:ilvl w:val="0"/>
          <w:numId w:val="4"/>
        </w:numPr>
        <w:shd w:val="clear" w:color="auto" w:fill="FFFFFF" w:themeFill="background1"/>
        <w:spacing w:after="120" w:line="240" w:lineRule="auto"/>
        <w:contextualSpacing w:val="0"/>
        <w:jc w:val="both"/>
        <w:rPr>
          <w:rFonts w:eastAsia="Segoe UI" w:cs="Segoe UI"/>
          <w:szCs w:val="22"/>
        </w:rPr>
      </w:pPr>
      <w:r w:rsidRPr="00B67CAB">
        <w:rPr>
          <w:rFonts w:eastAsia="Segoe UI" w:cs="Segoe UI"/>
          <w:b/>
          <w:bCs/>
          <w:szCs w:val="22"/>
        </w:rPr>
        <w:t>Scope 3 GHG emissions</w:t>
      </w:r>
      <w:r w:rsidRPr="00B67CAB">
        <w:rPr>
          <w:rFonts w:eastAsia="Segoe UI" w:cs="Segoe UI"/>
          <w:szCs w:val="22"/>
        </w:rPr>
        <w:t xml:space="preserve"> KPIs are applicable for borrowers whose Scope 3 emissions account for 40% or more of their total Scope 1, 2, and 3 emissions. These KPIs may also be used in addition </w:t>
      </w:r>
      <w:r w:rsidR="004D03F1" w:rsidRPr="00B67CAB">
        <w:rPr>
          <w:rFonts w:eastAsia="Segoe UI" w:cs="Segoe UI"/>
          <w:szCs w:val="22"/>
        </w:rPr>
        <w:t>to Scope</w:t>
      </w:r>
      <w:r w:rsidRPr="00B67CAB">
        <w:rPr>
          <w:rFonts w:eastAsia="Segoe UI" w:cs="Segoe UI"/>
          <w:szCs w:val="22"/>
        </w:rPr>
        <w:t xml:space="preserve"> 1 and 2 KPI to ensure total emission coverage. The </w:t>
      </w:r>
      <w:r w:rsidR="4CBCFE5A" w:rsidRPr="00B67CAB">
        <w:rPr>
          <w:rFonts w:eastAsia="Segoe UI" w:cs="Segoe UI"/>
          <w:szCs w:val="22"/>
        </w:rPr>
        <w:t xml:space="preserve">SPTs </w:t>
      </w:r>
      <w:r w:rsidRPr="00B67CAB">
        <w:rPr>
          <w:rFonts w:eastAsia="Segoe UI" w:cs="Segoe UI"/>
          <w:szCs w:val="22"/>
        </w:rPr>
        <w:t>must cover at least 40% of Scope 3 emissions for absolute or intensity-based targets, or at least 60% for engagement-based targets. Measurement can be based on intensity or absolute metrics, while engagement targets may be accepted in exceptional cases, depending on the borrower’s ability to influence its value chain.</w:t>
      </w:r>
    </w:p>
    <w:p w14:paraId="7CEFB3B7" w14:textId="7B924463" w:rsidR="004A2E06" w:rsidRPr="00B67CAB" w:rsidRDefault="2B6DCF5B" w:rsidP="001D3AC7">
      <w:pPr>
        <w:pStyle w:val="ListParagraph"/>
        <w:numPr>
          <w:ilvl w:val="0"/>
          <w:numId w:val="4"/>
        </w:numPr>
        <w:shd w:val="clear" w:color="auto" w:fill="FFFFFF" w:themeFill="background1"/>
        <w:spacing w:after="120" w:line="240" w:lineRule="auto"/>
        <w:contextualSpacing w:val="0"/>
        <w:jc w:val="both"/>
        <w:rPr>
          <w:rFonts w:eastAsia="Segoe UI" w:cs="Segoe UI"/>
          <w:szCs w:val="22"/>
        </w:rPr>
      </w:pPr>
      <w:r w:rsidRPr="00B67CAB">
        <w:rPr>
          <w:rFonts w:eastAsia="Segoe UI" w:cs="Segoe UI"/>
          <w:szCs w:val="22"/>
        </w:rPr>
        <w:t>O</w:t>
      </w:r>
      <w:r w:rsidR="4B8A2AE1" w:rsidRPr="00B67CAB">
        <w:rPr>
          <w:rFonts w:eastAsia="Segoe UI" w:cs="Segoe UI"/>
          <w:szCs w:val="22"/>
        </w:rPr>
        <w:t>ther KPIs may be accepted if they align with SBTi (or equivalent science-based methodologies) and are validated by recognized frameworks. These KPIs must transparently follow sectoral pathways and meet the outlined coverage thresholds.</w:t>
      </w:r>
    </w:p>
    <w:p w14:paraId="6CDD665F" w14:textId="6C61203A" w:rsidR="00726CD0" w:rsidRPr="00726CD0" w:rsidRDefault="00726CD0" w:rsidP="00726CD0">
      <w:pPr>
        <w:pStyle w:val="ListParagraph"/>
        <w:numPr>
          <w:ilvl w:val="1"/>
          <w:numId w:val="15"/>
        </w:numPr>
        <w:spacing w:after="120" w:line="240" w:lineRule="auto"/>
        <w:ind w:left="426" w:hanging="426"/>
        <w:rPr>
          <w:b/>
          <w:bCs/>
        </w:rPr>
      </w:pPr>
      <w:r w:rsidRPr="00726CD0">
        <w:rPr>
          <w:b/>
          <w:bCs/>
        </w:rPr>
        <w:t xml:space="preserve">To what extent </w:t>
      </w:r>
      <w:r w:rsidR="00EA0128" w:rsidRPr="00726CD0">
        <w:rPr>
          <w:b/>
          <w:bCs/>
        </w:rPr>
        <w:t>are NIB’s SLLBs</w:t>
      </w:r>
      <w:r w:rsidRPr="00726CD0">
        <w:rPr>
          <w:b/>
          <w:bCs/>
        </w:rPr>
        <w:t xml:space="preserve"> aligned with Paris Agreement?</w:t>
      </w:r>
    </w:p>
    <w:p w14:paraId="038D4128" w14:textId="77777777" w:rsidR="002C7A09" w:rsidRDefault="00726CD0" w:rsidP="00726CD0">
      <w:pPr>
        <w:jc w:val="both"/>
        <w:rPr>
          <w:rFonts w:eastAsia="Segoe UI" w:cs="Segoe UI"/>
          <w:szCs w:val="22"/>
        </w:rPr>
      </w:pPr>
      <w:r w:rsidRPr="00726CD0">
        <w:rPr>
          <w:rFonts w:eastAsia="Segoe UI" w:cs="Segoe UI"/>
          <w:szCs w:val="22"/>
        </w:rPr>
        <w:t xml:space="preserve">NIB only allocates proceeds from SLLBs to SLLs where the KPIs are aligned with </w:t>
      </w:r>
      <w:r w:rsidRPr="00726CD0">
        <w:rPr>
          <w:rFonts w:eastAsia="Segoe UI" w:cs="Segoe UI"/>
          <w:szCs w:val="22"/>
        </w:rPr>
        <w:t>1.5-degree</w:t>
      </w:r>
      <w:r w:rsidRPr="00726CD0">
        <w:rPr>
          <w:rFonts w:eastAsia="Segoe UI" w:cs="Segoe UI"/>
          <w:szCs w:val="22"/>
        </w:rPr>
        <w:t xml:space="preserve"> scenario and based on science-based trajectory. </w:t>
      </w:r>
      <w:r w:rsidR="00A321F4" w:rsidRPr="00A321F4">
        <w:rPr>
          <w:rFonts w:eastAsia="Segoe UI" w:cs="Segoe UI"/>
          <w:szCs w:val="22"/>
        </w:rPr>
        <w:t xml:space="preserve">A 2°C pathway is allowed only if no sector-specific 1.5°C pathway is </w:t>
      </w:r>
      <w:r w:rsidR="00A321F4">
        <w:rPr>
          <w:rFonts w:eastAsia="Segoe UI" w:cs="Segoe UI"/>
          <w:szCs w:val="22"/>
        </w:rPr>
        <w:t xml:space="preserve">yet </w:t>
      </w:r>
      <w:r w:rsidR="00A321F4" w:rsidRPr="00A321F4">
        <w:rPr>
          <w:rFonts w:eastAsia="Segoe UI" w:cs="Segoe UI"/>
          <w:szCs w:val="22"/>
        </w:rPr>
        <w:t>available.</w:t>
      </w:r>
      <w:r w:rsidR="00A321F4">
        <w:rPr>
          <w:rFonts w:eastAsia="Segoe UI" w:cs="Segoe UI"/>
          <w:szCs w:val="22"/>
        </w:rPr>
        <w:t xml:space="preserve"> </w:t>
      </w:r>
    </w:p>
    <w:p w14:paraId="04AD4A6B" w14:textId="0F267058" w:rsidR="00726CD0" w:rsidRPr="00726CD0" w:rsidRDefault="00726CD0" w:rsidP="00726CD0">
      <w:pPr>
        <w:jc w:val="both"/>
        <w:rPr>
          <w:rFonts w:eastAsia="Segoe UI" w:cs="Segoe UI"/>
          <w:szCs w:val="22"/>
        </w:rPr>
      </w:pPr>
      <w:r w:rsidRPr="00726CD0">
        <w:rPr>
          <w:rFonts w:eastAsia="Segoe UI" w:cs="Segoe UI"/>
          <w:szCs w:val="22"/>
        </w:rPr>
        <w:t>An SLL that misses KPI</w:t>
      </w:r>
      <w:r w:rsidR="00A10B77">
        <w:rPr>
          <w:rFonts w:eastAsia="Segoe UI" w:cs="Segoe UI"/>
          <w:szCs w:val="22"/>
        </w:rPr>
        <w:t xml:space="preserve"> (according to the</w:t>
      </w:r>
      <w:r w:rsidR="00714758">
        <w:rPr>
          <w:rFonts w:eastAsia="Segoe UI" w:cs="Segoe UI"/>
          <w:szCs w:val="22"/>
        </w:rPr>
        <w:t xml:space="preserve"> section 2.2.5 </w:t>
      </w:r>
      <w:r w:rsidR="009D7BDA">
        <w:rPr>
          <w:rFonts w:eastAsia="Segoe UI" w:cs="Segoe UI"/>
          <w:szCs w:val="22"/>
        </w:rPr>
        <w:t xml:space="preserve">Performance </w:t>
      </w:r>
      <w:r w:rsidR="00C8012D">
        <w:rPr>
          <w:rFonts w:eastAsia="Segoe UI" w:cs="Segoe UI"/>
          <w:szCs w:val="22"/>
        </w:rPr>
        <w:t xml:space="preserve">assessment and </w:t>
      </w:r>
      <w:r w:rsidR="00AB61D9">
        <w:rPr>
          <w:rFonts w:eastAsia="Segoe UI" w:cs="Segoe UI"/>
          <w:szCs w:val="22"/>
        </w:rPr>
        <w:t>disqualification of SLLs from SLL</w:t>
      </w:r>
      <w:r w:rsidR="000809B9">
        <w:rPr>
          <w:rFonts w:eastAsia="Segoe UI" w:cs="Segoe UI"/>
          <w:szCs w:val="22"/>
        </w:rPr>
        <w:t xml:space="preserve"> Eligible Portfolio</w:t>
      </w:r>
      <w:r w:rsidR="001864B1">
        <w:rPr>
          <w:rFonts w:eastAsia="Segoe UI" w:cs="Segoe UI"/>
          <w:szCs w:val="22"/>
        </w:rPr>
        <w:t xml:space="preserve"> of </w:t>
      </w:r>
      <w:hyperlink r:id="rId25" w:history="1">
        <w:r w:rsidRPr="007674F2">
          <w:rPr>
            <w:rStyle w:val="Hyperlink"/>
            <w:rFonts w:eastAsia="Segoe UI" w:cs="Segoe UI"/>
            <w:szCs w:val="22"/>
          </w:rPr>
          <w:t>NIB’s SLLB Framework</w:t>
        </w:r>
      </w:hyperlink>
      <w:r w:rsidR="00741A17">
        <w:rPr>
          <w:rFonts w:eastAsia="Segoe UI" w:cs="Segoe UI"/>
          <w:szCs w:val="22"/>
        </w:rPr>
        <w:t>)</w:t>
      </w:r>
      <w:r w:rsidRPr="00726CD0">
        <w:rPr>
          <w:rFonts w:eastAsia="Segoe UI" w:cs="Segoe UI"/>
          <w:szCs w:val="22"/>
        </w:rPr>
        <w:t xml:space="preserve">, will be removed from the SLL Eligible Portfolio. Therefore, NIB’s SLLBs will only be allocated towards lending where the borrowers are progressing towards science-based </w:t>
      </w:r>
      <w:r w:rsidRPr="00726CD0">
        <w:rPr>
          <w:rFonts w:eastAsia="Segoe UI" w:cs="Segoe UI"/>
          <w:szCs w:val="22"/>
        </w:rPr>
        <w:t>1.5-degree</w:t>
      </w:r>
      <w:r w:rsidRPr="00726CD0">
        <w:rPr>
          <w:rFonts w:eastAsia="Segoe UI" w:cs="Segoe UI"/>
          <w:szCs w:val="22"/>
        </w:rPr>
        <w:t xml:space="preserve"> targets.</w:t>
      </w:r>
      <w:r w:rsidR="00A321F4" w:rsidRPr="00A321F4">
        <w:t xml:space="preserve"> </w:t>
      </w:r>
    </w:p>
    <w:p w14:paraId="2A89114E" w14:textId="77777777" w:rsidR="00726CD0" w:rsidRDefault="00726CD0" w:rsidP="00726CD0">
      <w:pPr>
        <w:pStyle w:val="ListParagraph"/>
        <w:tabs>
          <w:tab w:val="left" w:pos="426"/>
        </w:tabs>
        <w:spacing w:after="120" w:line="240" w:lineRule="auto"/>
        <w:ind w:left="0"/>
      </w:pPr>
    </w:p>
    <w:p w14:paraId="248FAB30" w14:textId="66F93987" w:rsidR="004922AF" w:rsidRPr="00726CD0" w:rsidRDefault="19308687" w:rsidP="00726CD0">
      <w:pPr>
        <w:pStyle w:val="ListParagraph"/>
        <w:numPr>
          <w:ilvl w:val="1"/>
          <w:numId w:val="15"/>
        </w:numPr>
        <w:tabs>
          <w:tab w:val="left" w:pos="426"/>
        </w:tabs>
        <w:spacing w:after="120" w:line="240" w:lineRule="auto"/>
        <w:ind w:left="426" w:hanging="437"/>
        <w:rPr>
          <w:b/>
          <w:bCs/>
        </w:rPr>
      </w:pPr>
      <w:r w:rsidRPr="00726CD0">
        <w:rPr>
          <w:b/>
          <w:bCs/>
        </w:rPr>
        <w:t>Do</w:t>
      </w:r>
      <w:r w:rsidR="1DA2EBDE" w:rsidRPr="00726CD0">
        <w:rPr>
          <w:b/>
          <w:bCs/>
        </w:rPr>
        <w:t>es NIB</w:t>
      </w:r>
      <w:r w:rsidRPr="00726CD0">
        <w:rPr>
          <w:b/>
          <w:bCs/>
        </w:rPr>
        <w:t xml:space="preserve"> include</w:t>
      </w:r>
      <w:r w:rsidR="00A36AD8" w:rsidRPr="00726CD0">
        <w:rPr>
          <w:b/>
          <w:bCs/>
        </w:rPr>
        <w:t xml:space="preserve"> </w:t>
      </w:r>
      <w:r w:rsidRPr="00726CD0">
        <w:rPr>
          <w:b/>
          <w:bCs/>
        </w:rPr>
        <w:t xml:space="preserve">Revolving </w:t>
      </w:r>
      <w:r w:rsidR="00726CD0">
        <w:rPr>
          <w:b/>
          <w:bCs/>
        </w:rPr>
        <w:t>C</w:t>
      </w:r>
      <w:r w:rsidRPr="00726CD0">
        <w:rPr>
          <w:b/>
          <w:bCs/>
        </w:rPr>
        <w:t xml:space="preserve">redit </w:t>
      </w:r>
      <w:r w:rsidR="00726CD0">
        <w:rPr>
          <w:b/>
          <w:bCs/>
        </w:rPr>
        <w:t>F</w:t>
      </w:r>
      <w:r w:rsidRPr="00726CD0">
        <w:rPr>
          <w:b/>
          <w:bCs/>
        </w:rPr>
        <w:t>acilities</w:t>
      </w:r>
      <w:r w:rsidR="00197FB5" w:rsidRPr="00726CD0">
        <w:rPr>
          <w:b/>
          <w:bCs/>
        </w:rPr>
        <w:t xml:space="preserve"> </w:t>
      </w:r>
      <w:r w:rsidR="5488B49E" w:rsidRPr="00726CD0">
        <w:rPr>
          <w:b/>
          <w:bCs/>
        </w:rPr>
        <w:t xml:space="preserve">in the </w:t>
      </w:r>
      <w:r w:rsidR="00197FB5" w:rsidRPr="00726CD0">
        <w:rPr>
          <w:b/>
          <w:bCs/>
        </w:rPr>
        <w:t>SLL</w:t>
      </w:r>
      <w:r w:rsidR="4361BCA0" w:rsidRPr="00726CD0">
        <w:rPr>
          <w:b/>
          <w:bCs/>
        </w:rPr>
        <w:t>B</w:t>
      </w:r>
      <w:r w:rsidR="00A36AD8" w:rsidRPr="00726CD0">
        <w:rPr>
          <w:b/>
          <w:bCs/>
        </w:rPr>
        <w:t>?</w:t>
      </w:r>
    </w:p>
    <w:p w14:paraId="7F032F5E" w14:textId="35C99CBF" w:rsidR="004A2E06" w:rsidRDefault="001855AF" w:rsidP="001D3AC7">
      <w:pPr>
        <w:pStyle w:val="ListParagraph"/>
        <w:spacing w:after="120" w:line="240" w:lineRule="auto"/>
        <w:ind w:left="0"/>
        <w:contextualSpacing w:val="0"/>
      </w:pPr>
      <w:r w:rsidRPr="004922AF">
        <w:t>No,</w:t>
      </w:r>
      <w:r w:rsidR="71D0C976" w:rsidRPr="004922AF">
        <w:t xml:space="preserve"> NIB does not </w:t>
      </w:r>
      <w:r w:rsidR="59A2D647" w:rsidRPr="004922AF">
        <w:t xml:space="preserve">provide </w:t>
      </w:r>
      <w:r w:rsidR="71D0C976" w:rsidRPr="004922AF">
        <w:t>RCF</w:t>
      </w:r>
      <w:r w:rsidR="666AFD9A" w:rsidRPr="004922AF">
        <w:t xml:space="preserve"> lending</w:t>
      </w:r>
      <w:r w:rsidR="71D0C976" w:rsidRPr="004922AF">
        <w:t>.</w:t>
      </w:r>
    </w:p>
    <w:p w14:paraId="15A25864" w14:textId="77777777" w:rsidR="001D3AC7" w:rsidRDefault="001D3AC7" w:rsidP="001D3AC7">
      <w:pPr>
        <w:pStyle w:val="ListParagraph"/>
        <w:spacing w:after="120" w:line="240" w:lineRule="auto"/>
        <w:ind w:left="0"/>
        <w:contextualSpacing w:val="0"/>
      </w:pPr>
    </w:p>
    <w:p w14:paraId="56452B25" w14:textId="77777777" w:rsidR="007F7AF0" w:rsidRPr="00C120A5" w:rsidRDefault="007F7AF0" w:rsidP="00C120A5">
      <w:pPr>
        <w:pStyle w:val="Heading2"/>
        <w:shd w:val="clear" w:color="auto" w:fill="156082" w:themeFill="accent1"/>
        <w:spacing w:before="0" w:after="120" w:line="240" w:lineRule="auto"/>
        <w:rPr>
          <w:b/>
          <w:bCs/>
          <w:color w:val="FFFFFF" w:themeColor="background1"/>
        </w:rPr>
      </w:pPr>
      <w:bookmarkStart w:id="2" w:name="_Toc209168287"/>
      <w:r w:rsidRPr="00C120A5">
        <w:rPr>
          <w:b/>
          <w:bCs/>
          <w:color w:val="FFFFFF" w:themeColor="background1"/>
          <w:sz w:val="28"/>
          <w:szCs w:val="28"/>
        </w:rPr>
        <w:t>KPIs</w:t>
      </w:r>
      <w:bookmarkEnd w:id="2"/>
    </w:p>
    <w:p w14:paraId="3695022F" w14:textId="723D8618" w:rsidR="007F7AF0" w:rsidRPr="004922AF" w:rsidRDefault="007F7AF0" w:rsidP="0B9E13D9">
      <w:pPr>
        <w:pStyle w:val="ListParagraph"/>
        <w:numPr>
          <w:ilvl w:val="1"/>
          <w:numId w:val="15"/>
        </w:numPr>
        <w:spacing w:after="120" w:line="240" w:lineRule="auto"/>
        <w:ind w:left="426" w:hanging="426"/>
        <w:rPr>
          <w:b/>
          <w:bCs/>
        </w:rPr>
      </w:pPr>
      <w:r w:rsidRPr="0B9E13D9">
        <w:rPr>
          <w:b/>
          <w:bCs/>
        </w:rPr>
        <w:t>What do</w:t>
      </w:r>
      <w:r w:rsidR="41660FE7" w:rsidRPr="0B9E13D9">
        <w:rPr>
          <w:b/>
          <w:bCs/>
        </w:rPr>
        <w:t>es NIB</w:t>
      </w:r>
      <w:r w:rsidRPr="0B9E13D9">
        <w:rPr>
          <w:b/>
          <w:bCs/>
        </w:rPr>
        <w:t xml:space="preserve"> consider to be SBTi “equivalent science-based target-setting methodologies”?</w:t>
      </w:r>
    </w:p>
    <w:p w14:paraId="7F368694" w14:textId="071B956C" w:rsidR="0D55AAAE" w:rsidRPr="00B67CAB" w:rsidRDefault="0D55AAAE" w:rsidP="001D3AC7">
      <w:pPr>
        <w:shd w:val="clear" w:color="auto" w:fill="FFFFFF" w:themeFill="background1"/>
        <w:spacing w:after="120" w:line="240" w:lineRule="auto"/>
        <w:jc w:val="both"/>
        <w:rPr>
          <w:rFonts w:eastAsiaTheme="minorEastAsia"/>
          <w:szCs w:val="22"/>
        </w:rPr>
      </w:pPr>
      <w:r w:rsidRPr="00B67CAB">
        <w:rPr>
          <w:rFonts w:eastAsiaTheme="minorEastAsia"/>
          <w:szCs w:val="22"/>
        </w:rPr>
        <w:t>We currently rely on SBTi. However, as a government-owned bank, we believe it is important to ensure fair competition and remain open to the possibility of other potential service providers entering the market. While we currently regard SBTi as the benchmark for setting science-based targets, we recognize that other standards may emerge in the future that could equally support the need for this type of verification. By not limiting the verification to a single provider, we uphold principles of fairness and inclusivity while maintaining the flexibility to adapt to evolving standards and methodologies.</w:t>
      </w:r>
    </w:p>
    <w:p w14:paraId="35737DB1" w14:textId="57790288" w:rsidR="0D809ADD" w:rsidRPr="00B67CAB" w:rsidRDefault="0D809ADD" w:rsidP="001D3AC7">
      <w:pPr>
        <w:pStyle w:val="ListParagraph"/>
        <w:spacing w:after="120" w:line="240" w:lineRule="auto"/>
        <w:ind w:left="1080"/>
        <w:contextualSpacing w:val="0"/>
      </w:pPr>
    </w:p>
    <w:p w14:paraId="0D819374" w14:textId="24AB778E" w:rsidR="007F7AF0" w:rsidRPr="004922AF" w:rsidRDefault="007F7AF0" w:rsidP="0B9E13D9">
      <w:pPr>
        <w:pStyle w:val="ListParagraph"/>
        <w:numPr>
          <w:ilvl w:val="1"/>
          <w:numId w:val="15"/>
        </w:numPr>
        <w:spacing w:after="120" w:line="240" w:lineRule="auto"/>
        <w:ind w:left="426" w:hanging="426"/>
        <w:rPr>
          <w:b/>
          <w:bCs/>
        </w:rPr>
      </w:pPr>
      <w:r w:rsidRPr="0B9E13D9">
        <w:rPr>
          <w:b/>
          <w:bCs/>
        </w:rPr>
        <w:t xml:space="preserve">In which cases </w:t>
      </w:r>
      <w:proofErr w:type="gramStart"/>
      <w:r w:rsidRPr="0B9E13D9">
        <w:rPr>
          <w:b/>
          <w:bCs/>
        </w:rPr>
        <w:t>do</w:t>
      </w:r>
      <w:r w:rsidR="4141A1D7" w:rsidRPr="0B9E13D9">
        <w:rPr>
          <w:b/>
          <w:bCs/>
        </w:rPr>
        <w:t>es</w:t>
      </w:r>
      <w:proofErr w:type="gramEnd"/>
      <w:r w:rsidR="4141A1D7" w:rsidRPr="0B9E13D9">
        <w:rPr>
          <w:b/>
          <w:bCs/>
        </w:rPr>
        <w:t xml:space="preserve"> NIB</w:t>
      </w:r>
      <w:r w:rsidRPr="0B9E13D9">
        <w:rPr>
          <w:b/>
          <w:bCs/>
        </w:rPr>
        <w:t xml:space="preserve"> accept intensity targets?</w:t>
      </w:r>
    </w:p>
    <w:p w14:paraId="7C4216E2" w14:textId="5156718E" w:rsidR="1B101418" w:rsidRPr="00B67CAB" w:rsidRDefault="1B101418" w:rsidP="001D3AC7">
      <w:pPr>
        <w:shd w:val="clear" w:color="auto" w:fill="FFFFFF" w:themeFill="background1"/>
        <w:spacing w:after="120" w:line="240" w:lineRule="auto"/>
        <w:jc w:val="both"/>
        <w:rPr>
          <w:rFonts w:eastAsiaTheme="minorEastAsia"/>
        </w:rPr>
      </w:pPr>
      <w:r w:rsidRPr="2C6B6B13">
        <w:rPr>
          <w:rFonts w:eastAsiaTheme="minorEastAsia"/>
        </w:rPr>
        <w:t>We accept both absolute and intensity-based targets for Scope 1</w:t>
      </w:r>
      <w:r w:rsidR="4132AD07" w:rsidRPr="2C6B6B13">
        <w:rPr>
          <w:rFonts w:eastAsiaTheme="minorEastAsia"/>
        </w:rPr>
        <w:t xml:space="preserve">, </w:t>
      </w:r>
      <w:r w:rsidRPr="2C6B6B13">
        <w:rPr>
          <w:rFonts w:eastAsiaTheme="minorEastAsia"/>
        </w:rPr>
        <w:t xml:space="preserve">2 </w:t>
      </w:r>
      <w:r w:rsidR="75A2DCA8" w:rsidRPr="2C6B6B13">
        <w:rPr>
          <w:rFonts w:eastAsiaTheme="minorEastAsia"/>
        </w:rPr>
        <w:t xml:space="preserve">or 3 </w:t>
      </w:r>
      <w:r w:rsidRPr="2C6B6B13">
        <w:rPr>
          <w:rFonts w:eastAsiaTheme="minorEastAsia"/>
        </w:rPr>
        <w:t>emissions and rely on the Science-Based Targets initiative (SBTi) (or eq</w:t>
      </w:r>
      <w:r w:rsidR="00C96372" w:rsidRPr="2C6B6B13">
        <w:rPr>
          <w:rFonts w:eastAsiaTheme="minorEastAsia"/>
        </w:rPr>
        <w:t>.</w:t>
      </w:r>
      <w:r w:rsidRPr="2C6B6B13">
        <w:rPr>
          <w:rFonts w:eastAsiaTheme="minorEastAsia"/>
        </w:rPr>
        <w:t>)</w:t>
      </w:r>
      <w:r w:rsidR="7CB6D69C" w:rsidRPr="2C6B6B13">
        <w:rPr>
          <w:rFonts w:eastAsiaTheme="minorEastAsia"/>
        </w:rPr>
        <w:t xml:space="preserve"> </w:t>
      </w:r>
      <w:r w:rsidRPr="2C6B6B13">
        <w:rPr>
          <w:rFonts w:eastAsiaTheme="minorEastAsia"/>
        </w:rPr>
        <w:t xml:space="preserve">validation of these targets as the primary basis for our acceptance. If the SBTi (or eq.) has validated a target in intensity terms, we </w:t>
      </w:r>
      <w:r w:rsidR="458D183E" w:rsidRPr="2C6B6B13">
        <w:rPr>
          <w:rFonts w:eastAsiaTheme="minorEastAsia"/>
        </w:rPr>
        <w:t xml:space="preserve">can </w:t>
      </w:r>
      <w:r w:rsidRPr="2C6B6B13">
        <w:rPr>
          <w:rFonts w:eastAsiaTheme="minorEastAsia"/>
        </w:rPr>
        <w:t>a</w:t>
      </w:r>
      <w:r w:rsidR="502E1BF8" w:rsidRPr="2C6B6B13">
        <w:rPr>
          <w:rFonts w:eastAsiaTheme="minorEastAsia"/>
        </w:rPr>
        <w:t xml:space="preserve">pply </w:t>
      </w:r>
      <w:r w:rsidRPr="2C6B6B13">
        <w:rPr>
          <w:rFonts w:eastAsiaTheme="minorEastAsia"/>
        </w:rPr>
        <w:t>it accordingly. However, when the agreed KPI is an intensity-based target, we require the borrower to provide baseline data and performance data in both intensity and absolute terms.</w:t>
      </w:r>
    </w:p>
    <w:p w14:paraId="1462BFAC" w14:textId="00179699" w:rsidR="004922AF" w:rsidRDefault="1B101418" w:rsidP="001D3AC7">
      <w:pPr>
        <w:shd w:val="clear" w:color="auto" w:fill="FFFFFF" w:themeFill="background1"/>
        <w:spacing w:after="120" w:line="240" w:lineRule="auto"/>
        <w:jc w:val="both"/>
        <w:rPr>
          <w:rFonts w:eastAsiaTheme="minorEastAsia"/>
        </w:rPr>
      </w:pPr>
      <w:r w:rsidRPr="5B21FCF5">
        <w:rPr>
          <w:rFonts w:eastAsiaTheme="minorEastAsia"/>
        </w:rPr>
        <w:t>Additionally, our loan agreements explicitly state our right to request the relevant calculations of the agreed KPI as reported by the borrower. This ensures transparency and accountability in tracking and verifying performance against the agreed targets.</w:t>
      </w:r>
    </w:p>
    <w:p w14:paraId="6099B064" w14:textId="77777777" w:rsidR="004922AF" w:rsidRDefault="004922AF" w:rsidP="001D3AC7">
      <w:pPr>
        <w:shd w:val="clear" w:color="auto" w:fill="FFFFFF" w:themeFill="background1"/>
        <w:spacing w:after="120" w:line="240" w:lineRule="auto"/>
        <w:jc w:val="both"/>
      </w:pPr>
    </w:p>
    <w:p w14:paraId="581E3725" w14:textId="20753D0E" w:rsidR="007F7AF0" w:rsidRDefault="007F7AF0" w:rsidP="0B9E13D9">
      <w:pPr>
        <w:pStyle w:val="ListParagraph"/>
        <w:numPr>
          <w:ilvl w:val="1"/>
          <w:numId w:val="15"/>
        </w:numPr>
        <w:spacing w:after="120" w:line="240" w:lineRule="auto"/>
        <w:ind w:left="426" w:hanging="426"/>
        <w:rPr>
          <w:b/>
          <w:bCs/>
        </w:rPr>
      </w:pPr>
      <w:r w:rsidRPr="0B9E13D9">
        <w:rPr>
          <w:b/>
          <w:bCs/>
        </w:rPr>
        <w:t xml:space="preserve">In which cases </w:t>
      </w:r>
      <w:proofErr w:type="gramStart"/>
      <w:r w:rsidRPr="0B9E13D9">
        <w:rPr>
          <w:b/>
          <w:bCs/>
        </w:rPr>
        <w:t>do</w:t>
      </w:r>
      <w:r w:rsidR="745DC0AD" w:rsidRPr="0B9E13D9">
        <w:rPr>
          <w:b/>
          <w:bCs/>
        </w:rPr>
        <w:t>es</w:t>
      </w:r>
      <w:proofErr w:type="gramEnd"/>
      <w:r w:rsidR="745DC0AD" w:rsidRPr="0B9E13D9">
        <w:rPr>
          <w:b/>
          <w:bCs/>
        </w:rPr>
        <w:t xml:space="preserve"> NIB</w:t>
      </w:r>
      <w:r w:rsidRPr="0B9E13D9">
        <w:rPr>
          <w:b/>
          <w:bCs/>
        </w:rPr>
        <w:t xml:space="preserve"> accept </w:t>
      </w:r>
      <w:r w:rsidR="677F6C29" w:rsidRPr="0B9E13D9">
        <w:rPr>
          <w:b/>
          <w:bCs/>
        </w:rPr>
        <w:t xml:space="preserve">engagement </w:t>
      </w:r>
      <w:r w:rsidRPr="0B9E13D9">
        <w:rPr>
          <w:b/>
          <w:bCs/>
        </w:rPr>
        <w:t>targets for Scope 3?</w:t>
      </w:r>
    </w:p>
    <w:p w14:paraId="07FE21F7" w14:textId="77777777" w:rsidR="00A41EBF" w:rsidRPr="00A41EBF" w:rsidRDefault="00A41EBF" w:rsidP="001D3AC7">
      <w:pPr>
        <w:tabs>
          <w:tab w:val="left" w:pos="567"/>
        </w:tabs>
        <w:spacing w:after="120" w:line="240" w:lineRule="auto"/>
        <w:jc w:val="both"/>
      </w:pPr>
      <w:r w:rsidRPr="00A41EBF">
        <w:t>Engagement targets may be considered depending on the borrower’s business operations and their ability to influence emissions within their value chain (Scope 3).</w:t>
      </w:r>
    </w:p>
    <w:p w14:paraId="640D4613" w14:textId="77777777" w:rsidR="00A41EBF" w:rsidRPr="00A41EBF" w:rsidRDefault="00A41EBF" w:rsidP="001D3AC7">
      <w:pPr>
        <w:tabs>
          <w:tab w:val="left" w:pos="567"/>
        </w:tabs>
        <w:spacing w:after="120" w:line="240" w:lineRule="auto"/>
        <w:jc w:val="both"/>
      </w:pPr>
      <w:r w:rsidRPr="00A41EBF">
        <w:t xml:space="preserve">In some cases, engagement targets serve as an interim step for companies working to address Scope 3 emissions, particularly when direct Scope 3 data is still under development. This often occurs when companies face challenges such as </w:t>
      </w:r>
      <w:proofErr w:type="gramStart"/>
      <w:r w:rsidRPr="00A41EBF">
        <w:t>a large number of</w:t>
      </w:r>
      <w:proofErr w:type="gramEnd"/>
      <w:r w:rsidRPr="00A41EBF">
        <w:t xml:space="preserve"> small suppliers with limited reporting capabilities or when reporting timelines are still evolving. In such scenarios, engagement targets can act as a practical starting point to drive progress.</w:t>
      </w:r>
    </w:p>
    <w:p w14:paraId="26F48436" w14:textId="41F42B25" w:rsidR="00A41EBF" w:rsidRDefault="00A41EBF" w:rsidP="001D3AC7">
      <w:pPr>
        <w:tabs>
          <w:tab w:val="left" w:pos="567"/>
        </w:tabs>
        <w:spacing w:after="120" w:line="240" w:lineRule="auto"/>
        <w:jc w:val="both"/>
      </w:pPr>
      <w:r w:rsidRPr="00A41EBF">
        <w:t>A key factor in our evaluation of Scope 3 engagement targets is whether they are aligned with and verified under the SBTi. Another critical consideration is gaining a clear and comprehensive understanding of the company’s Scope 3 emissions. During discussions with borrowers, we assess their business operations in detail, focusing on their ability to influence Scope 3 emissions. This includes evaluating the company’s action plan to achieve its targets and its capacity to drive change, which may depend on the actions of supply chain partners. Our analysis also considers specific Scope 3 categories and the company’s role and influence as a market player</w:t>
      </w:r>
      <w:r>
        <w:t>.</w:t>
      </w:r>
    </w:p>
    <w:p w14:paraId="751DF191" w14:textId="77777777" w:rsidR="00A41EBF" w:rsidRDefault="00A41EBF" w:rsidP="001D3AC7">
      <w:pPr>
        <w:tabs>
          <w:tab w:val="left" w:pos="567"/>
        </w:tabs>
        <w:spacing w:after="120" w:line="240" w:lineRule="auto"/>
        <w:jc w:val="both"/>
      </w:pPr>
    </w:p>
    <w:p w14:paraId="6FC1F213" w14:textId="3A09E270" w:rsidR="00F14F47" w:rsidRPr="001D3AC7" w:rsidRDefault="00F14F47" w:rsidP="001D3AC7">
      <w:pPr>
        <w:pStyle w:val="Heading2"/>
        <w:shd w:val="clear" w:color="auto" w:fill="156082" w:themeFill="accent1"/>
        <w:spacing w:before="0" w:after="120" w:line="240" w:lineRule="auto"/>
        <w:rPr>
          <w:b/>
          <w:bCs/>
          <w:color w:val="FFFFFF" w:themeColor="background1"/>
          <w:sz w:val="28"/>
          <w:szCs w:val="28"/>
        </w:rPr>
      </w:pPr>
      <w:bookmarkStart w:id="3" w:name="_Toc209168288"/>
      <w:r w:rsidRPr="001D3AC7">
        <w:rPr>
          <w:b/>
          <w:bCs/>
          <w:color w:val="FFFFFF" w:themeColor="background1"/>
          <w:sz w:val="28"/>
          <w:szCs w:val="28"/>
        </w:rPr>
        <w:t>Trigger dates</w:t>
      </w:r>
      <w:bookmarkEnd w:id="3"/>
    </w:p>
    <w:p w14:paraId="7B853F7A" w14:textId="74EAA7B2" w:rsidR="00151930" w:rsidRPr="00A41EBF" w:rsidRDefault="30383AF4" w:rsidP="0B9E13D9">
      <w:pPr>
        <w:pStyle w:val="ListParagraph"/>
        <w:numPr>
          <w:ilvl w:val="1"/>
          <w:numId w:val="15"/>
        </w:numPr>
        <w:spacing w:after="120" w:line="240" w:lineRule="auto"/>
        <w:ind w:left="426" w:hanging="426"/>
        <w:rPr>
          <w:b/>
          <w:bCs/>
        </w:rPr>
      </w:pPr>
      <w:r w:rsidRPr="0B9E13D9">
        <w:rPr>
          <w:b/>
          <w:bCs/>
        </w:rPr>
        <w:t>How do</w:t>
      </w:r>
      <w:r w:rsidR="3057720A" w:rsidRPr="0B9E13D9">
        <w:rPr>
          <w:b/>
          <w:bCs/>
        </w:rPr>
        <w:t>es</w:t>
      </w:r>
      <w:r w:rsidRPr="0B9E13D9">
        <w:rPr>
          <w:b/>
          <w:bCs/>
        </w:rPr>
        <w:t xml:space="preserve"> </w:t>
      </w:r>
      <w:r w:rsidR="3057720A" w:rsidRPr="0B9E13D9">
        <w:rPr>
          <w:b/>
          <w:bCs/>
        </w:rPr>
        <w:t xml:space="preserve">NIB </w:t>
      </w:r>
      <w:r w:rsidRPr="0B9E13D9">
        <w:rPr>
          <w:b/>
          <w:bCs/>
        </w:rPr>
        <w:t>decide on SLL tr</w:t>
      </w:r>
      <w:r w:rsidR="004A2E06" w:rsidRPr="0B9E13D9">
        <w:rPr>
          <w:b/>
          <w:bCs/>
        </w:rPr>
        <w:t>igger dates?</w:t>
      </w:r>
    </w:p>
    <w:p w14:paraId="472AD7BB" w14:textId="2CA8BAA2" w:rsidR="0BF50CBA" w:rsidRPr="00575AA7" w:rsidRDefault="1913D31C" w:rsidP="001D3AC7">
      <w:pPr>
        <w:spacing w:after="120" w:line="240" w:lineRule="auto"/>
        <w:jc w:val="both"/>
      </w:pPr>
      <w:r w:rsidRPr="00575AA7">
        <w:t xml:space="preserve">In line with the Sustainability-Linked Loan Principles (SLLP), our approach prioritizes annual SPTs, however according to the SLLB Guidelines it is not mandatory. We apply a tailored approach to each SLL, </w:t>
      </w:r>
      <w:proofErr w:type="gramStart"/>
      <w:r w:rsidRPr="00575AA7">
        <w:t>taking into account</w:t>
      </w:r>
      <w:proofErr w:type="gramEnd"/>
      <w:r w:rsidRPr="00575AA7">
        <w:t xml:space="preserve"> the nature of the loan, the sector-specific transition dynamics, and the action plan of the borrower. In sectors where the decarbonization pathway is non-linear or where the investment horizon does not align with annual milestones (especially regarding Scope 3 emissions), we seek rationale and might agree to define SPTs with alternative frequencies while maintaining credibility of the KPIs/SPTs. </w:t>
      </w:r>
    </w:p>
    <w:p w14:paraId="660ECBD8" w14:textId="6E06C17D" w:rsidR="0BF50CBA" w:rsidRPr="00575AA7" w:rsidRDefault="1913D31C" w:rsidP="001D3AC7">
      <w:pPr>
        <w:spacing w:after="120" w:line="240" w:lineRule="auto"/>
        <w:jc w:val="both"/>
      </w:pPr>
      <w:r w:rsidRPr="00575AA7">
        <w:t>Regardless of the target frequency, annual reporting on progress remains a standard requirement across all SLLs financed by NIB.</w:t>
      </w:r>
    </w:p>
    <w:p w14:paraId="57405D0C" w14:textId="5B55809C" w:rsidR="0BF50CBA" w:rsidRDefault="0BF50CBA" w:rsidP="001D3AC7">
      <w:pPr>
        <w:pStyle w:val="ListParagraph"/>
        <w:spacing w:after="120" w:line="240" w:lineRule="auto"/>
        <w:ind w:left="1080"/>
        <w:contextualSpacing w:val="0"/>
      </w:pPr>
    </w:p>
    <w:p w14:paraId="1550F59D" w14:textId="3C7431D3" w:rsidR="00A54C7F" w:rsidRPr="00113F91" w:rsidRDefault="00EB26EA" w:rsidP="001D3AC7">
      <w:pPr>
        <w:pStyle w:val="ListParagraph"/>
        <w:numPr>
          <w:ilvl w:val="1"/>
          <w:numId w:val="15"/>
        </w:numPr>
        <w:spacing w:after="120" w:line="240" w:lineRule="auto"/>
        <w:ind w:left="426" w:hanging="426"/>
        <w:contextualSpacing w:val="0"/>
        <w:rPr>
          <w:b/>
          <w:bCs/>
        </w:rPr>
      </w:pPr>
      <w:r w:rsidRPr="00113F91">
        <w:rPr>
          <w:b/>
          <w:bCs/>
        </w:rPr>
        <w:t>I</w:t>
      </w:r>
      <w:r w:rsidR="00172427" w:rsidRPr="00113F91">
        <w:rPr>
          <w:b/>
          <w:bCs/>
        </w:rPr>
        <w:t xml:space="preserve">s there a risk </w:t>
      </w:r>
      <w:r w:rsidRPr="00113F91">
        <w:rPr>
          <w:b/>
          <w:bCs/>
        </w:rPr>
        <w:t xml:space="preserve">that </w:t>
      </w:r>
      <w:r w:rsidR="00172427" w:rsidRPr="00113F91">
        <w:rPr>
          <w:b/>
          <w:bCs/>
        </w:rPr>
        <w:t xml:space="preserve">loans </w:t>
      </w:r>
      <w:r w:rsidRPr="00113F91">
        <w:rPr>
          <w:b/>
          <w:bCs/>
        </w:rPr>
        <w:t xml:space="preserve">with fewer trigger dates could functionally never be excluded from the asset pool? </w:t>
      </w:r>
      <w:r w:rsidR="00712C14" w:rsidRPr="00113F91">
        <w:rPr>
          <w:b/>
          <w:bCs/>
        </w:rPr>
        <w:t>Which safeguards do you have in place to mitigate such a risk</w:t>
      </w:r>
      <w:r w:rsidRPr="00113F91">
        <w:rPr>
          <w:b/>
          <w:bCs/>
        </w:rPr>
        <w:t>?</w:t>
      </w:r>
    </w:p>
    <w:p w14:paraId="49EADA97" w14:textId="272A619A" w:rsidR="1A5BCBD9" w:rsidRPr="00E809F0" w:rsidRDefault="1A5BCBD9" w:rsidP="001D3AC7">
      <w:pPr>
        <w:spacing w:after="120" w:line="240" w:lineRule="auto"/>
        <w:jc w:val="both"/>
      </w:pPr>
      <w:r w:rsidRPr="00E809F0">
        <w:t xml:space="preserve">At the time of inclusion in the SLL Eligible Portfolio, each SLL must have at least one remaining Core KPI trigger point. </w:t>
      </w:r>
    </w:p>
    <w:p w14:paraId="72526829" w14:textId="345F5192" w:rsidR="002F3B14" w:rsidRPr="00E809F0" w:rsidRDefault="002F3B14" w:rsidP="001D3AC7">
      <w:pPr>
        <w:spacing w:after="120" w:line="240" w:lineRule="auto"/>
        <w:jc w:val="both"/>
        <w:rPr>
          <w:lang w:val="en-GB"/>
        </w:rPr>
      </w:pPr>
      <w:r w:rsidRPr="31D417A3">
        <w:rPr>
          <w:lang w:val="en-GB"/>
        </w:rPr>
        <w:t xml:space="preserve">Regardless of the target frequency, annual reporting on progress remains a standard requirement across all SLLs financed by NIB. </w:t>
      </w:r>
    </w:p>
    <w:p w14:paraId="174E9544" w14:textId="13B394FA" w:rsidR="00286D66" w:rsidRPr="00E809F0" w:rsidRDefault="00F15DB6" w:rsidP="001D3AC7">
      <w:pPr>
        <w:spacing w:after="120" w:line="240" w:lineRule="auto"/>
        <w:jc w:val="both"/>
      </w:pPr>
      <w:r>
        <w:rPr>
          <w:noProof/>
        </w:rPr>
        <w:drawing>
          <wp:anchor distT="0" distB="0" distL="114300" distR="114300" simplePos="0" relativeHeight="251658240" behindDoc="0" locked="0" layoutInCell="1" allowOverlap="1" wp14:anchorId="0796BBDD" wp14:editId="4C0C9615">
            <wp:simplePos x="0" y="0"/>
            <wp:positionH relativeFrom="column">
              <wp:posOffset>3819795</wp:posOffset>
            </wp:positionH>
            <wp:positionV relativeFrom="paragraph">
              <wp:posOffset>621590</wp:posOffset>
            </wp:positionV>
            <wp:extent cx="2271692" cy="2842788"/>
            <wp:effectExtent l="0" t="0" r="0" b="0"/>
            <wp:wrapNone/>
            <wp:docPr id="1108385366" name="Picture 1" descr="A blue circ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385366" name="Picture 1" descr="A blue circle with white text&#10;&#10;AI-generated content may be incorrect."/>
                    <pic:cNvPicPr/>
                  </pic:nvPicPr>
                  <pic:blipFill>
                    <a:blip r:embed="rId26">
                      <a:extLst>
                        <a:ext uri="{28A0092B-C50C-407E-A947-70E740481C1C}">
                          <a14:useLocalDpi xmlns:a14="http://schemas.microsoft.com/office/drawing/2010/main"/>
                        </a:ext>
                      </a:extLst>
                    </a:blip>
                    <a:stretch>
                      <a:fillRect/>
                    </a:stretch>
                  </pic:blipFill>
                  <pic:spPr>
                    <a:xfrm>
                      <a:off x="0" y="0"/>
                      <a:ext cx="2271692" cy="2842788"/>
                    </a:xfrm>
                    <a:prstGeom prst="rect">
                      <a:avLst/>
                    </a:prstGeom>
                  </pic:spPr>
                </pic:pic>
              </a:graphicData>
            </a:graphic>
            <wp14:sizeRelH relativeFrom="page">
              <wp14:pctWidth>0</wp14:pctWidth>
            </wp14:sizeRelH>
            <wp14:sizeRelV relativeFrom="page">
              <wp14:pctHeight>0</wp14:pctHeight>
            </wp14:sizeRelV>
          </wp:anchor>
        </w:drawing>
      </w:r>
      <w:r w:rsidR="002F3B14" w:rsidRPr="00E809F0">
        <w:t>I</w:t>
      </w:r>
      <w:r w:rsidR="00286D66" w:rsidRPr="00E809F0">
        <w:t xml:space="preserve">n a hypothetical scenario where SPTs are regularly missed, NIB reserves the right to have corrective actions of the pool and exclude an SLL from the pool after considering the specific circumstances and the borrower’s explanation. This approach aligns with the provisions outlined in the </w:t>
      </w:r>
      <w:hyperlink r:id="rId27" w:history="1">
        <w:r w:rsidR="00E809F0" w:rsidRPr="007674F2">
          <w:rPr>
            <w:rStyle w:val="Hyperlink"/>
          </w:rPr>
          <w:t xml:space="preserve">NIB SLLB </w:t>
        </w:r>
        <w:r w:rsidR="00286D66" w:rsidRPr="007674F2">
          <w:rPr>
            <w:rStyle w:val="Hyperlink"/>
          </w:rPr>
          <w:t>Framework</w:t>
        </w:r>
      </w:hyperlink>
      <w:r w:rsidR="00085F15" w:rsidRPr="00E809F0">
        <w:t>.</w:t>
      </w:r>
    </w:p>
    <w:p w14:paraId="01123B8F" w14:textId="22A7A00B" w:rsidR="0069542E" w:rsidRDefault="0069542E">
      <w:pPr>
        <w:rPr>
          <w:b/>
          <w:bCs/>
        </w:rPr>
      </w:pPr>
    </w:p>
    <w:p w14:paraId="78783E50" w14:textId="5AB5B7BF" w:rsidR="008B18BB" w:rsidRPr="00E809F0" w:rsidRDefault="5B8C0620" w:rsidP="00F15DB6">
      <w:pPr>
        <w:pStyle w:val="ListParagraph"/>
        <w:numPr>
          <w:ilvl w:val="1"/>
          <w:numId w:val="15"/>
        </w:numPr>
        <w:spacing w:after="120" w:line="240" w:lineRule="auto"/>
        <w:ind w:left="425" w:right="3690" w:hanging="425"/>
        <w:contextualSpacing w:val="0"/>
        <w:rPr>
          <w:b/>
          <w:bCs/>
        </w:rPr>
      </w:pPr>
      <w:r w:rsidRPr="21ACDB8C">
        <w:rPr>
          <w:b/>
          <w:bCs/>
        </w:rPr>
        <w:t>What % of your existing SLLs have met/not met targets at previous trigger dates?</w:t>
      </w:r>
    </w:p>
    <w:p w14:paraId="332750DB" w14:textId="730E2FA6" w:rsidR="00195277" w:rsidRDefault="2AC97212" w:rsidP="21ACDB8C">
      <w:pPr>
        <w:pStyle w:val="ListParagraph"/>
        <w:spacing w:after="120" w:line="240" w:lineRule="auto"/>
        <w:ind w:left="0" w:right="3690"/>
        <w:jc w:val="both"/>
      </w:pPr>
      <w:r w:rsidRPr="00282331">
        <w:t xml:space="preserve">Progress follow-up </w:t>
      </w:r>
      <w:r>
        <w:t>b</w:t>
      </w:r>
      <w:r w:rsidRPr="00282331">
        <w:t xml:space="preserve">y the end of 2024, NIB had signed 13 SLL agreements with 36 key performance indicators (KPIs), of which 21 are currently active and monitored. Out of the monitored KPIs, 71% were on track, i.e. had reached the planned levels. Ten per cent of the KPIs were progressing at a slower pace than anticipated with a linear progress assumption and 19% of the KPI’s were missed (off-track) or not progressing. </w:t>
      </w:r>
    </w:p>
    <w:p w14:paraId="2FAA3359" w14:textId="6BEFA022" w:rsidR="00195277" w:rsidRDefault="2AC97212" w:rsidP="002F6132">
      <w:pPr>
        <w:spacing w:after="120" w:line="240" w:lineRule="auto"/>
        <w:ind w:right="4"/>
        <w:jc w:val="both"/>
      </w:pPr>
      <w:r>
        <w:t>The progress data for KPIs shows the challenge of achieving what are ambitious targets for some of the clients.</w:t>
      </w:r>
    </w:p>
    <w:p w14:paraId="21F78A3F" w14:textId="7C48DAAC" w:rsidR="00195277" w:rsidRDefault="2AC97212" w:rsidP="00F15DB6">
      <w:pPr>
        <w:spacing w:after="120" w:line="240" w:lineRule="auto"/>
        <w:ind w:right="4"/>
        <w:jc w:val="both"/>
      </w:pPr>
      <w:r>
        <w:t>Compared to last year, we see that some borrowers have improved their performance and are now on track, while some targets are still not yet fulfilled. The Bank supports maintaining a high ambition level with some KPI potentially lagging and expects its clients to increase their efforts to achieve their targets in future years. NIB will continue to engage with its clients to intensify tangible actions for the targets and will further follow-up on progress.</w:t>
      </w:r>
    </w:p>
    <w:p w14:paraId="202253C9" w14:textId="2942D46B" w:rsidR="00195277" w:rsidRDefault="00195277" w:rsidP="00451E16">
      <w:pPr>
        <w:spacing w:after="120" w:line="240" w:lineRule="auto"/>
        <w:ind w:right="4"/>
        <w:jc w:val="both"/>
      </w:pPr>
      <w:r>
        <w:t>When looking at the potential pool, NIB also</w:t>
      </w:r>
      <w:r w:rsidR="607C5396">
        <w:t xml:space="preserve"> has</w:t>
      </w:r>
      <w:r>
        <w:t xml:space="preserve"> checked the past performance of the loan and might not decide to include the SLL in the pool, due to these reasons. </w:t>
      </w:r>
    </w:p>
    <w:p w14:paraId="42692344" w14:textId="77777777" w:rsidR="008B18BB" w:rsidRDefault="008B18BB" w:rsidP="001D3AC7">
      <w:pPr>
        <w:pStyle w:val="ListParagraph"/>
        <w:spacing w:after="120" w:line="240" w:lineRule="auto"/>
        <w:contextualSpacing w:val="0"/>
      </w:pPr>
    </w:p>
    <w:p w14:paraId="38A56460" w14:textId="6F1F34A8" w:rsidR="00353F71" w:rsidRPr="00A0075C" w:rsidRDefault="00AE2979" w:rsidP="0B9E13D9">
      <w:pPr>
        <w:pStyle w:val="ListParagraph"/>
        <w:numPr>
          <w:ilvl w:val="1"/>
          <w:numId w:val="15"/>
        </w:numPr>
        <w:spacing w:after="120" w:line="240" w:lineRule="auto"/>
        <w:ind w:left="426" w:hanging="426"/>
        <w:rPr>
          <w:b/>
          <w:bCs/>
        </w:rPr>
      </w:pPr>
      <w:r w:rsidRPr="0B9E13D9">
        <w:rPr>
          <w:b/>
          <w:bCs/>
        </w:rPr>
        <w:t xml:space="preserve">What is </w:t>
      </w:r>
      <w:r w:rsidR="43893557" w:rsidRPr="0B9E13D9">
        <w:rPr>
          <w:b/>
          <w:bCs/>
        </w:rPr>
        <w:t>NIB’s</w:t>
      </w:r>
      <w:r w:rsidRPr="0B9E13D9">
        <w:rPr>
          <w:b/>
          <w:bCs/>
        </w:rPr>
        <w:t xml:space="preserve"> typical way of engaging with the borrower if they do not meet the KPI target at trigger date?</w:t>
      </w:r>
    </w:p>
    <w:p w14:paraId="6E66630E" w14:textId="7755E440" w:rsidR="00D65154" w:rsidRDefault="00495CFA" w:rsidP="001D3AC7">
      <w:pPr>
        <w:pStyle w:val="ListParagraph"/>
        <w:spacing w:after="120" w:line="240" w:lineRule="auto"/>
        <w:ind w:left="0"/>
        <w:contextualSpacing w:val="0"/>
        <w:jc w:val="both"/>
      </w:pPr>
      <w:r w:rsidRPr="00495CFA">
        <w:t>When a borrower does not meet the KPI target at the trigger date, we initiate a dialogue to understand the underlying reasons. This includes reviewing the most recent data, discussing any contextual developments, and exploring corrective actions that can be taken. The aim is to ensure transparen</w:t>
      </w:r>
      <w:r>
        <w:t>t dialogue</w:t>
      </w:r>
      <w:r w:rsidR="00E91C50">
        <w:t xml:space="preserve"> and</w:t>
      </w:r>
      <w:r w:rsidRPr="00495CFA">
        <w:t xml:space="preserve"> encourage </w:t>
      </w:r>
      <w:r w:rsidR="00134132">
        <w:t>borrowers’</w:t>
      </w:r>
      <w:r w:rsidR="00291950">
        <w:t xml:space="preserve"> </w:t>
      </w:r>
      <w:r w:rsidRPr="00495CFA">
        <w:t xml:space="preserve">steps toward </w:t>
      </w:r>
      <w:r w:rsidR="00291950">
        <w:t>improvement</w:t>
      </w:r>
      <w:r w:rsidRPr="00495CFA">
        <w:t>.</w:t>
      </w:r>
      <w:r w:rsidR="00291950">
        <w:t xml:space="preserve"> </w:t>
      </w:r>
    </w:p>
    <w:p w14:paraId="188A38B4" w14:textId="77777777" w:rsidR="00495CFA" w:rsidRDefault="00495CFA" w:rsidP="001D3AC7">
      <w:pPr>
        <w:pStyle w:val="ListParagraph"/>
        <w:spacing w:after="120" w:line="240" w:lineRule="auto"/>
        <w:ind w:left="1080"/>
        <w:contextualSpacing w:val="0"/>
      </w:pPr>
    </w:p>
    <w:p w14:paraId="35DA1E79" w14:textId="032D2298" w:rsidR="00F14F47" w:rsidRPr="001D3AC7" w:rsidRDefault="000C1F9B" w:rsidP="001D3AC7">
      <w:pPr>
        <w:pStyle w:val="Heading2"/>
        <w:shd w:val="clear" w:color="auto" w:fill="156082" w:themeFill="accent1"/>
        <w:spacing w:before="0" w:after="120" w:line="240" w:lineRule="auto"/>
        <w:rPr>
          <w:b/>
          <w:bCs/>
          <w:color w:val="FFFFFF" w:themeColor="background1"/>
          <w:sz w:val="28"/>
          <w:szCs w:val="28"/>
        </w:rPr>
      </w:pPr>
      <w:bookmarkStart w:id="4" w:name="_Toc209168289"/>
      <w:r w:rsidRPr="001D3AC7">
        <w:rPr>
          <w:b/>
          <w:bCs/>
          <w:color w:val="FFFFFF" w:themeColor="background1"/>
          <w:sz w:val="28"/>
          <w:szCs w:val="28"/>
        </w:rPr>
        <w:t>External verification</w:t>
      </w:r>
      <w:bookmarkEnd w:id="4"/>
    </w:p>
    <w:p w14:paraId="0B15C169" w14:textId="596BBBBD" w:rsidR="00F14F47" w:rsidRDefault="006D7A60" w:rsidP="0069542E">
      <w:pPr>
        <w:pStyle w:val="ListParagraph"/>
        <w:numPr>
          <w:ilvl w:val="1"/>
          <w:numId w:val="15"/>
        </w:numPr>
        <w:spacing w:after="120" w:line="240" w:lineRule="auto"/>
        <w:ind w:left="426" w:hanging="426"/>
        <w:contextualSpacing w:val="0"/>
        <w:jc w:val="both"/>
        <w:rPr>
          <w:b/>
          <w:bCs/>
        </w:rPr>
      </w:pPr>
      <w:r w:rsidRPr="000D2608">
        <w:rPr>
          <w:b/>
          <w:bCs/>
        </w:rPr>
        <w:t xml:space="preserve">Are </w:t>
      </w:r>
      <w:r w:rsidR="00C61285" w:rsidRPr="000D2608">
        <w:rPr>
          <w:b/>
          <w:bCs/>
        </w:rPr>
        <w:t xml:space="preserve">all </w:t>
      </w:r>
      <w:r w:rsidRPr="000D2608">
        <w:rPr>
          <w:b/>
          <w:bCs/>
        </w:rPr>
        <w:t xml:space="preserve">borrowers </w:t>
      </w:r>
      <w:r w:rsidR="00DD52F5" w:rsidRPr="000D2608">
        <w:rPr>
          <w:b/>
          <w:bCs/>
        </w:rPr>
        <w:t xml:space="preserve">using the SLL format </w:t>
      </w:r>
      <w:r w:rsidRPr="000D2608">
        <w:rPr>
          <w:b/>
          <w:bCs/>
        </w:rPr>
        <w:t xml:space="preserve">required to </w:t>
      </w:r>
      <w:r w:rsidR="00DD52F5" w:rsidRPr="000D2608">
        <w:rPr>
          <w:b/>
          <w:bCs/>
        </w:rPr>
        <w:t>obtain limited assurance or will you make exceptions?</w:t>
      </w:r>
      <w:r w:rsidR="00197FB5" w:rsidRPr="000D2608">
        <w:rPr>
          <w:b/>
          <w:bCs/>
        </w:rPr>
        <w:t xml:space="preserve"> Any other verification/assurance formats allowed in addition to limited assurance?</w:t>
      </w:r>
    </w:p>
    <w:p w14:paraId="62D8B4F5" w14:textId="3525D98C" w:rsidR="00710028" w:rsidRDefault="00F92615" w:rsidP="001D3AC7">
      <w:pPr>
        <w:pStyle w:val="ListParagraph"/>
        <w:spacing w:after="120" w:line="240" w:lineRule="auto"/>
        <w:ind w:left="0"/>
        <w:contextualSpacing w:val="0"/>
        <w:jc w:val="both"/>
        <w:rPr>
          <w:lang w:val="en-GB"/>
        </w:rPr>
      </w:pPr>
      <w:r w:rsidRPr="31D417A3">
        <w:rPr>
          <w:lang w:val="en-GB"/>
        </w:rPr>
        <w:t>If the borrower reports on the performance of the KPIs and the achievement of the SPTs in its annual or sustainability report, the minimum level of external verification is that a limited assurance statement by a qualified third party is provided for the KPI and SPT performance and their calculation methodology. If the borrower does not report the performance of the KPIs and the achievement of the SPTs in its annual or sustainability report or reports them without the limited assurance as a minimum, the borrower shall seek an independent external verification by a qualified third party of its performance. The borrower shall supply the verified documentation of its performance to NIB within a reasonable time following the trigger dates.  This refers to all borrowers, with no exceptions.</w:t>
      </w:r>
    </w:p>
    <w:p w14:paraId="01ED79CE" w14:textId="77777777" w:rsidR="00451E16" w:rsidRDefault="00451E16" w:rsidP="001D3AC7">
      <w:pPr>
        <w:pStyle w:val="ListParagraph"/>
        <w:spacing w:after="120" w:line="240" w:lineRule="auto"/>
        <w:ind w:left="0"/>
        <w:contextualSpacing w:val="0"/>
        <w:jc w:val="both"/>
      </w:pPr>
    </w:p>
    <w:p w14:paraId="1DE07FAE" w14:textId="08229B63" w:rsidR="00127CDA" w:rsidRPr="001D3AC7" w:rsidRDefault="0067252B" w:rsidP="001D3AC7">
      <w:pPr>
        <w:pStyle w:val="Heading2"/>
        <w:shd w:val="clear" w:color="auto" w:fill="156082" w:themeFill="accent1"/>
        <w:spacing w:before="0" w:after="120" w:line="240" w:lineRule="auto"/>
        <w:rPr>
          <w:b/>
          <w:bCs/>
          <w:color w:val="FFFFFF" w:themeColor="background1"/>
          <w:sz w:val="28"/>
          <w:szCs w:val="28"/>
        </w:rPr>
      </w:pPr>
      <w:bookmarkStart w:id="5" w:name="_Toc209168290"/>
      <w:r w:rsidRPr="001D3AC7">
        <w:rPr>
          <w:b/>
          <w:bCs/>
          <w:color w:val="FFFFFF" w:themeColor="background1"/>
          <w:sz w:val="28"/>
          <w:szCs w:val="28"/>
        </w:rPr>
        <w:t>Process for SLL Evaluation and Selection</w:t>
      </w:r>
      <w:bookmarkEnd w:id="5"/>
    </w:p>
    <w:p w14:paraId="2E685C61" w14:textId="29E38574" w:rsidR="00353F71" w:rsidRDefault="00AC469A" w:rsidP="0B9E13D9">
      <w:pPr>
        <w:pStyle w:val="ListParagraph"/>
        <w:numPr>
          <w:ilvl w:val="1"/>
          <w:numId w:val="15"/>
        </w:numPr>
        <w:spacing w:after="120" w:line="240" w:lineRule="auto"/>
        <w:ind w:left="426" w:hanging="426"/>
        <w:rPr>
          <w:b/>
          <w:bCs/>
        </w:rPr>
      </w:pPr>
      <w:r w:rsidRPr="0B9E13D9">
        <w:rPr>
          <w:b/>
          <w:bCs/>
        </w:rPr>
        <w:t xml:space="preserve">Which share of </w:t>
      </w:r>
      <w:r w:rsidR="1442CF35" w:rsidRPr="0B9E13D9">
        <w:rPr>
          <w:b/>
          <w:bCs/>
        </w:rPr>
        <w:t>NIB’s</w:t>
      </w:r>
      <w:r w:rsidRPr="0B9E13D9">
        <w:rPr>
          <w:b/>
          <w:bCs/>
        </w:rPr>
        <w:t xml:space="preserve"> </w:t>
      </w:r>
      <w:r w:rsidR="00FF3273" w:rsidRPr="0B9E13D9">
        <w:rPr>
          <w:b/>
          <w:bCs/>
        </w:rPr>
        <w:t xml:space="preserve">total </w:t>
      </w:r>
      <w:r w:rsidRPr="0B9E13D9">
        <w:rPr>
          <w:b/>
          <w:bCs/>
        </w:rPr>
        <w:t xml:space="preserve">SLL portfolio do you expect to be in scope for </w:t>
      </w:r>
      <w:r w:rsidR="00DE4BDC" w:rsidRPr="0B9E13D9">
        <w:rPr>
          <w:b/>
          <w:bCs/>
        </w:rPr>
        <w:t xml:space="preserve">funding under </w:t>
      </w:r>
      <w:r w:rsidR="005F40B2" w:rsidRPr="0B9E13D9">
        <w:rPr>
          <w:b/>
          <w:bCs/>
        </w:rPr>
        <w:t>NIB</w:t>
      </w:r>
      <w:r w:rsidR="00DE4BDC" w:rsidRPr="0B9E13D9">
        <w:rPr>
          <w:b/>
          <w:bCs/>
        </w:rPr>
        <w:t xml:space="preserve"> SLLB </w:t>
      </w:r>
      <w:r w:rsidR="005F40B2" w:rsidRPr="0B9E13D9">
        <w:rPr>
          <w:b/>
          <w:bCs/>
        </w:rPr>
        <w:t>F</w:t>
      </w:r>
      <w:r w:rsidR="00DE4BDC" w:rsidRPr="0B9E13D9">
        <w:rPr>
          <w:b/>
          <w:bCs/>
        </w:rPr>
        <w:t>ramework?</w:t>
      </w:r>
    </w:p>
    <w:p w14:paraId="4A0B664E" w14:textId="68345CF8" w:rsidR="00444039" w:rsidRDefault="0069542E" w:rsidP="001D3AC7">
      <w:pPr>
        <w:spacing w:after="120" w:line="240" w:lineRule="auto"/>
        <w:jc w:val="both"/>
      </w:pPr>
      <w:r w:rsidRPr="00444039">
        <w:t>Most of</w:t>
      </w:r>
      <w:r w:rsidR="00444039" w:rsidRPr="00444039">
        <w:t xml:space="preserve"> our SLLs align with</w:t>
      </w:r>
      <w:hyperlink r:id="rId28" w:history="1">
        <w:r w:rsidR="00444039" w:rsidRPr="007674F2">
          <w:rPr>
            <w:rStyle w:val="Hyperlink"/>
          </w:rPr>
          <w:t xml:space="preserve"> </w:t>
        </w:r>
        <w:r w:rsidR="005F40B2" w:rsidRPr="007674F2">
          <w:rPr>
            <w:rStyle w:val="Hyperlink"/>
          </w:rPr>
          <w:t>NIB</w:t>
        </w:r>
        <w:r w:rsidR="00444039" w:rsidRPr="007674F2">
          <w:rPr>
            <w:rStyle w:val="Hyperlink"/>
          </w:rPr>
          <w:t xml:space="preserve"> SLLB Framework</w:t>
        </w:r>
      </w:hyperlink>
      <w:r w:rsidR="00444039" w:rsidRPr="00444039">
        <w:t>. However, we also facilitate SLLs that target other environmental priorities beyond climate-related goals. In some cases, SLLs may not fully align with the SLLB framework due to factors such as differing maturity timelines or other specific considerations.</w:t>
      </w:r>
    </w:p>
    <w:p w14:paraId="569DE0F7" w14:textId="77777777" w:rsidR="00B42419" w:rsidRPr="00064145" w:rsidRDefault="00B42419" w:rsidP="001D3AC7">
      <w:pPr>
        <w:spacing w:after="120" w:line="240" w:lineRule="auto"/>
        <w:jc w:val="both"/>
      </w:pPr>
    </w:p>
    <w:p w14:paraId="671BE6A4" w14:textId="36AB66AC" w:rsidR="0007671C" w:rsidRDefault="00373D6D" w:rsidP="0B9E13D9">
      <w:pPr>
        <w:pStyle w:val="ListParagraph"/>
        <w:numPr>
          <w:ilvl w:val="1"/>
          <w:numId w:val="15"/>
        </w:numPr>
        <w:spacing w:after="120" w:line="240" w:lineRule="auto"/>
        <w:ind w:left="426" w:hanging="426"/>
        <w:rPr>
          <w:b/>
          <w:bCs/>
        </w:rPr>
      </w:pPr>
      <w:r w:rsidRPr="0B9E13D9">
        <w:rPr>
          <w:b/>
          <w:bCs/>
        </w:rPr>
        <w:t>Do</w:t>
      </w:r>
      <w:r w:rsidR="49A50135" w:rsidRPr="0B9E13D9">
        <w:rPr>
          <w:b/>
          <w:bCs/>
        </w:rPr>
        <w:t xml:space="preserve">es NIB </w:t>
      </w:r>
      <w:r w:rsidR="00D15E86" w:rsidRPr="0B9E13D9">
        <w:rPr>
          <w:b/>
          <w:bCs/>
        </w:rPr>
        <w:t>expect to expand the scope of KPIs eligible for funding in the future</w:t>
      </w:r>
      <w:r w:rsidR="005D708B" w:rsidRPr="0B9E13D9">
        <w:rPr>
          <w:b/>
          <w:bCs/>
        </w:rPr>
        <w:t>, i.e. to also include other sustainability objectives</w:t>
      </w:r>
      <w:r w:rsidR="00D15E86" w:rsidRPr="0B9E13D9">
        <w:rPr>
          <w:b/>
          <w:bCs/>
        </w:rPr>
        <w:t>?</w:t>
      </w:r>
    </w:p>
    <w:p w14:paraId="675B840E" w14:textId="6C6CA4D4" w:rsidR="00983AB0" w:rsidRDefault="007674F2" w:rsidP="001D3AC7">
      <w:pPr>
        <w:pStyle w:val="Header"/>
        <w:spacing w:after="120"/>
        <w:jc w:val="both"/>
        <w:rPr>
          <w:lang w:val="en-GB"/>
        </w:rPr>
      </w:pPr>
      <w:hyperlink r:id="rId29" w:history="1">
        <w:r w:rsidR="006A263E" w:rsidRPr="007674F2">
          <w:rPr>
            <w:rStyle w:val="Hyperlink"/>
          </w:rPr>
          <w:t>NIB SLLB Framework</w:t>
        </w:r>
      </w:hyperlink>
      <w:r w:rsidR="006A263E" w:rsidRPr="00651288" w:rsidDel="0011330E">
        <w:t xml:space="preserve"> </w:t>
      </w:r>
      <w:r w:rsidR="006A263E" w:rsidRPr="00651288">
        <w:t>is built around a single sustainability objective, which is “Reducing climate change impacts”. This ensures that all eligible SLLs are directly related to climate change mitigation and the reduction or avoidance of GHG emissions.</w:t>
      </w:r>
      <w:r w:rsidR="00651288">
        <w:t xml:space="preserve"> </w:t>
      </w:r>
      <w:r w:rsidR="000B50F4">
        <w:t>Th</w:t>
      </w:r>
      <w:r w:rsidR="001B0215">
        <w:t>ese KPIs therefore give direct impact to</w:t>
      </w:r>
      <w:r w:rsidR="000B50F4">
        <w:t xml:space="preserve"> </w:t>
      </w:r>
      <w:r w:rsidR="00983AB0" w:rsidRPr="00983AB0">
        <w:rPr>
          <w:lang w:val="en-GB"/>
        </w:rPr>
        <w:t>SGD 13, Climate action.</w:t>
      </w:r>
      <w:r w:rsidR="00983AB0">
        <w:rPr>
          <w:lang w:val="en-GB"/>
        </w:rPr>
        <w:t xml:space="preserve"> </w:t>
      </w:r>
    </w:p>
    <w:p w14:paraId="6FE75057" w14:textId="6BB0CB5D" w:rsidR="00AC28F1" w:rsidRDefault="00651288" w:rsidP="001D3AC7">
      <w:pPr>
        <w:pStyle w:val="Header"/>
        <w:spacing w:after="120"/>
        <w:jc w:val="both"/>
      </w:pPr>
      <w:r>
        <w:t>Therefore, SLLB allows KPIs</w:t>
      </w:r>
      <w:r w:rsidR="00A33241">
        <w:t xml:space="preserve"> that relates to Scope 1, 2 and 3 emission reduction.</w:t>
      </w:r>
      <w:r>
        <w:t xml:space="preserve"> </w:t>
      </w:r>
      <w:r w:rsidR="00A33241">
        <w:t xml:space="preserve">However, </w:t>
      </w:r>
      <w:r w:rsidR="005F40B2">
        <w:t>NIB</w:t>
      </w:r>
      <w:r w:rsidR="00AC28F1" w:rsidRPr="00651288">
        <w:t xml:space="preserve"> SLLB Framework allows for the inclusion of other climate-related KPIs, provided they align with SBTi target-setting methodologies.</w:t>
      </w:r>
    </w:p>
    <w:p w14:paraId="18021FF4" w14:textId="77777777" w:rsidR="00AC28F1" w:rsidRDefault="00AC28F1" w:rsidP="001D3AC7">
      <w:pPr>
        <w:spacing w:after="120" w:line="240" w:lineRule="auto"/>
        <w:jc w:val="both"/>
      </w:pPr>
      <w:r w:rsidRPr="00AC28F1">
        <w:t>While primarily a climate-focused framework, SLLs may also feature secondary KPIs that contribute to NIB’s environmental and productivity mandates, such as reducing water pollutants, improving connectivity, or enhancing resource efficiency.</w:t>
      </w:r>
    </w:p>
    <w:p w14:paraId="1825184A" w14:textId="77777777" w:rsidR="00E70AF7" w:rsidRDefault="00E70AF7" w:rsidP="001D3AC7">
      <w:pPr>
        <w:spacing w:after="120" w:line="240" w:lineRule="auto"/>
        <w:rPr>
          <w:rFonts w:asciiTheme="majorHAnsi" w:eastAsiaTheme="majorEastAsia" w:hAnsiTheme="majorHAnsi" w:cstheme="majorBidi"/>
          <w:b/>
          <w:bCs/>
          <w:color w:val="0F4761" w:themeColor="accent1" w:themeShade="BF"/>
          <w:sz w:val="28"/>
          <w:szCs w:val="28"/>
        </w:rPr>
      </w:pPr>
    </w:p>
    <w:p w14:paraId="53481D72" w14:textId="2C501AE9" w:rsidR="0067252B" w:rsidRPr="00C120A5" w:rsidRDefault="0067252B" w:rsidP="00C120A5">
      <w:pPr>
        <w:pStyle w:val="Heading2"/>
        <w:shd w:val="clear" w:color="auto" w:fill="156082" w:themeFill="accent1"/>
        <w:spacing w:before="0" w:after="120" w:line="240" w:lineRule="auto"/>
        <w:rPr>
          <w:b/>
          <w:bCs/>
          <w:color w:val="FFFFFF" w:themeColor="background1"/>
          <w:sz w:val="28"/>
          <w:szCs w:val="28"/>
        </w:rPr>
      </w:pPr>
      <w:bookmarkStart w:id="6" w:name="_Toc209168291"/>
      <w:r w:rsidRPr="00C120A5">
        <w:rPr>
          <w:b/>
          <w:bCs/>
          <w:color w:val="FFFFFF" w:themeColor="background1"/>
          <w:sz w:val="28"/>
          <w:szCs w:val="28"/>
        </w:rPr>
        <w:t>Management of Proceeds</w:t>
      </w:r>
      <w:bookmarkEnd w:id="6"/>
    </w:p>
    <w:p w14:paraId="237190DF" w14:textId="35BA82F2" w:rsidR="00353F71" w:rsidRPr="00F552CF" w:rsidRDefault="00197FB5" w:rsidP="0B9E13D9">
      <w:pPr>
        <w:pStyle w:val="ListParagraph"/>
        <w:numPr>
          <w:ilvl w:val="1"/>
          <w:numId w:val="15"/>
        </w:numPr>
        <w:spacing w:after="120" w:line="240" w:lineRule="auto"/>
        <w:ind w:left="426" w:hanging="426"/>
        <w:jc w:val="both"/>
        <w:rPr>
          <w:b/>
          <w:bCs/>
        </w:rPr>
      </w:pPr>
      <w:r w:rsidRPr="0B9E13D9">
        <w:rPr>
          <w:b/>
          <w:bCs/>
        </w:rPr>
        <w:t>Do</w:t>
      </w:r>
      <w:r w:rsidR="05246F60" w:rsidRPr="0B9E13D9">
        <w:rPr>
          <w:b/>
          <w:bCs/>
        </w:rPr>
        <w:t>es NIB</w:t>
      </w:r>
      <w:r w:rsidRPr="0B9E13D9">
        <w:rPr>
          <w:b/>
          <w:bCs/>
        </w:rPr>
        <w:t xml:space="preserve"> have a target to maintain </w:t>
      </w:r>
      <w:r w:rsidR="00854BD2" w:rsidRPr="0B9E13D9">
        <w:rPr>
          <w:b/>
          <w:bCs/>
        </w:rPr>
        <w:t xml:space="preserve">a </w:t>
      </w:r>
      <w:r w:rsidRPr="0B9E13D9">
        <w:rPr>
          <w:b/>
          <w:bCs/>
        </w:rPr>
        <w:t>certain buffer in the SLL portfolio compared to outstanding SLLB volume?</w:t>
      </w:r>
    </w:p>
    <w:p w14:paraId="7CFB41FF" w14:textId="6AD1EDFE" w:rsidR="7CE4057A" w:rsidRDefault="7CE4057A" w:rsidP="001D3AC7">
      <w:pPr>
        <w:spacing w:after="120" w:line="240" w:lineRule="auto"/>
        <w:jc w:val="both"/>
        <w:rPr>
          <w:rFonts w:ascii="Aptos" w:eastAsia="Aptos" w:hAnsi="Aptos" w:cs="Aptos"/>
        </w:rPr>
      </w:pPr>
      <w:r w:rsidRPr="1A239CE5">
        <w:rPr>
          <w:rFonts w:eastAsiaTheme="minorEastAsia" w:cs="Aptos"/>
          <w:szCs w:val="22"/>
        </w:rPr>
        <w:t xml:space="preserve">In accordance with </w:t>
      </w:r>
      <w:hyperlink r:id="rId30" w:history="1">
        <w:r w:rsidR="00C26E69" w:rsidRPr="007674F2">
          <w:rPr>
            <w:rStyle w:val="Hyperlink"/>
            <w:rFonts w:eastAsiaTheme="minorEastAsia" w:cs="Aptos"/>
            <w:szCs w:val="22"/>
          </w:rPr>
          <w:t>NIB</w:t>
        </w:r>
        <w:r w:rsidRPr="007674F2">
          <w:rPr>
            <w:rStyle w:val="Hyperlink"/>
            <w:rFonts w:eastAsiaTheme="minorEastAsia" w:cs="Aptos"/>
            <w:szCs w:val="22"/>
          </w:rPr>
          <w:t xml:space="preserve"> SLLB framework</w:t>
        </w:r>
      </w:hyperlink>
      <w:r w:rsidRPr="1A239CE5">
        <w:rPr>
          <w:rFonts w:eastAsiaTheme="minorEastAsia" w:cs="Aptos"/>
          <w:szCs w:val="22"/>
        </w:rPr>
        <w:t xml:space="preserve">, NIB aims for the size of the SLL </w:t>
      </w:r>
      <w:r w:rsidR="009A23A4" w:rsidRPr="1A239CE5">
        <w:rPr>
          <w:rFonts w:eastAsiaTheme="minorEastAsia" w:cs="Aptos"/>
          <w:szCs w:val="22"/>
        </w:rPr>
        <w:t>Eligible</w:t>
      </w:r>
      <w:r w:rsidRPr="1A239CE5">
        <w:rPr>
          <w:rFonts w:eastAsiaTheme="minorEastAsia" w:cs="Aptos"/>
          <w:szCs w:val="22"/>
        </w:rPr>
        <w:t xml:space="preserve"> </w:t>
      </w:r>
      <w:r w:rsidR="009A23A4" w:rsidRPr="1A239CE5">
        <w:rPr>
          <w:rFonts w:eastAsiaTheme="minorEastAsia" w:cs="Aptos"/>
          <w:szCs w:val="22"/>
        </w:rPr>
        <w:t>Portfolio</w:t>
      </w:r>
      <w:r w:rsidRPr="1A239CE5">
        <w:rPr>
          <w:rFonts w:eastAsiaTheme="minorEastAsia" w:cs="Aptos"/>
          <w:szCs w:val="22"/>
        </w:rPr>
        <w:t xml:space="preserve"> always to exceed the total amount of outstanding SLLBs by at least 10%. In the unlikely event that the amount of outstanding SLLs exceeds the SLL Eligible Portfolio, NIB commits to hold the funds in the Treasury and manage them in accordance with NIBs Liquidity Policy and remaining subject to </w:t>
      </w:r>
      <w:hyperlink r:id="rId31" w:history="1">
        <w:r w:rsidRPr="00D44549">
          <w:rPr>
            <w:rStyle w:val="Hyperlink"/>
            <w:rFonts w:eastAsiaTheme="minorEastAsia" w:cs="Aptos"/>
            <w:szCs w:val="22"/>
          </w:rPr>
          <w:t>NIB’s Sustainability Policy</w:t>
        </w:r>
      </w:hyperlink>
      <w:r w:rsidRPr="1A239CE5">
        <w:rPr>
          <w:rFonts w:eastAsiaTheme="minorEastAsia" w:cs="Aptos"/>
          <w:szCs w:val="22"/>
        </w:rPr>
        <w:t>.</w:t>
      </w:r>
    </w:p>
    <w:p w14:paraId="792EC9D7" w14:textId="77777777" w:rsidR="00B42419" w:rsidRDefault="00B42419" w:rsidP="001D3AC7">
      <w:pPr>
        <w:spacing w:after="120" w:line="240" w:lineRule="auto"/>
        <w:jc w:val="both"/>
      </w:pPr>
    </w:p>
    <w:p w14:paraId="0A6D9180" w14:textId="5CF897AA" w:rsidR="00197FB5" w:rsidRDefault="00197FB5" w:rsidP="0B9E13D9">
      <w:pPr>
        <w:pStyle w:val="ListParagraph"/>
        <w:numPr>
          <w:ilvl w:val="1"/>
          <w:numId w:val="15"/>
        </w:numPr>
        <w:spacing w:after="120" w:line="240" w:lineRule="auto"/>
        <w:ind w:left="426" w:hanging="426"/>
        <w:rPr>
          <w:b/>
          <w:bCs/>
        </w:rPr>
      </w:pPr>
      <w:r w:rsidRPr="0B9E13D9">
        <w:rPr>
          <w:b/>
          <w:bCs/>
        </w:rPr>
        <w:t>Do</w:t>
      </w:r>
      <w:r w:rsidR="65DBB2A7" w:rsidRPr="0B9E13D9">
        <w:rPr>
          <w:b/>
          <w:bCs/>
        </w:rPr>
        <w:t xml:space="preserve">es NIB </w:t>
      </w:r>
      <w:r w:rsidRPr="0B9E13D9">
        <w:rPr>
          <w:b/>
          <w:bCs/>
        </w:rPr>
        <w:t xml:space="preserve">expect volatility in </w:t>
      </w:r>
      <w:r w:rsidR="065C4320" w:rsidRPr="0B9E13D9">
        <w:rPr>
          <w:b/>
          <w:bCs/>
        </w:rPr>
        <w:t xml:space="preserve">the </w:t>
      </w:r>
      <w:r w:rsidRPr="0B9E13D9">
        <w:rPr>
          <w:b/>
          <w:bCs/>
        </w:rPr>
        <w:t>SLL</w:t>
      </w:r>
      <w:r w:rsidR="53B68E09" w:rsidRPr="0B9E13D9">
        <w:rPr>
          <w:b/>
          <w:bCs/>
        </w:rPr>
        <w:t>B Eligible</w:t>
      </w:r>
      <w:r w:rsidRPr="0B9E13D9">
        <w:rPr>
          <w:b/>
          <w:bCs/>
        </w:rPr>
        <w:t xml:space="preserve"> </w:t>
      </w:r>
      <w:r w:rsidR="46016227" w:rsidRPr="0B9E13D9">
        <w:rPr>
          <w:b/>
          <w:bCs/>
        </w:rPr>
        <w:t>P</w:t>
      </w:r>
      <w:r w:rsidRPr="0B9E13D9">
        <w:rPr>
          <w:b/>
          <w:bCs/>
        </w:rPr>
        <w:t>ortfolio volume?</w:t>
      </w:r>
    </w:p>
    <w:p w14:paraId="1DAB9051" w14:textId="29268779" w:rsidR="67C9546C" w:rsidRDefault="67C9546C" w:rsidP="001D3AC7">
      <w:pPr>
        <w:spacing w:after="120" w:line="240" w:lineRule="auto"/>
        <w:jc w:val="both"/>
      </w:pPr>
      <w:r w:rsidRPr="00B42419">
        <w:t xml:space="preserve">It is important to </w:t>
      </w:r>
      <w:r w:rsidR="00B42419" w:rsidRPr="00B42419">
        <w:t>recognize</w:t>
      </w:r>
      <w:r w:rsidRPr="00B42419">
        <w:t xml:space="preserve"> that progress toward sustainability targets may vary from year to year due to external factors, market conditions, or other unforeseen challenges. Therefore, it is important to allow for flexibility in how progress is assessed, ensuring that the evaluation process reflects the reality of achieving long-term sustainability goals. </w:t>
      </w:r>
      <w:hyperlink r:id="rId32" w:history="1">
        <w:r w:rsidR="00C26E69" w:rsidRPr="007674F2">
          <w:rPr>
            <w:rStyle w:val="Hyperlink"/>
          </w:rPr>
          <w:t>NIB SLLB F</w:t>
        </w:r>
        <w:r w:rsidRPr="007674F2">
          <w:rPr>
            <w:rStyle w:val="Hyperlink"/>
          </w:rPr>
          <w:t>ramework</w:t>
        </w:r>
      </w:hyperlink>
      <w:r w:rsidRPr="00B42419">
        <w:t xml:space="preserve"> clearly explains the approach to performance assessment and disqualification and reinstatement of SLLs</w:t>
      </w:r>
      <w:r w:rsidR="061AEABD" w:rsidRPr="00B42419">
        <w:t xml:space="preserve"> to the SLLB.</w:t>
      </w:r>
    </w:p>
    <w:p w14:paraId="34A7C862" w14:textId="77777777" w:rsidR="00B42419" w:rsidRPr="00B42419" w:rsidRDefault="00B42419" w:rsidP="001D3AC7">
      <w:pPr>
        <w:spacing w:after="120" w:line="240" w:lineRule="auto"/>
        <w:jc w:val="both"/>
      </w:pPr>
    </w:p>
    <w:p w14:paraId="4FB217C9" w14:textId="247F90BF" w:rsidR="00197FB5" w:rsidRDefault="00197FB5" w:rsidP="0B9E13D9">
      <w:pPr>
        <w:pStyle w:val="ListParagraph"/>
        <w:numPr>
          <w:ilvl w:val="1"/>
          <w:numId w:val="15"/>
        </w:numPr>
        <w:spacing w:after="120" w:line="240" w:lineRule="auto"/>
        <w:ind w:left="426" w:hanging="426"/>
        <w:rPr>
          <w:b/>
          <w:bCs/>
        </w:rPr>
      </w:pPr>
      <w:r w:rsidRPr="0B9E13D9">
        <w:rPr>
          <w:b/>
          <w:bCs/>
        </w:rPr>
        <w:t xml:space="preserve">What is the average tenor of </w:t>
      </w:r>
      <w:r w:rsidR="196291E8" w:rsidRPr="0B9E13D9">
        <w:rPr>
          <w:b/>
          <w:bCs/>
        </w:rPr>
        <w:t xml:space="preserve">the </w:t>
      </w:r>
      <w:r w:rsidRPr="0B9E13D9">
        <w:rPr>
          <w:b/>
          <w:bCs/>
        </w:rPr>
        <w:t>current SLL</w:t>
      </w:r>
      <w:r w:rsidR="2E0CEE9F" w:rsidRPr="0B9E13D9">
        <w:rPr>
          <w:b/>
          <w:bCs/>
        </w:rPr>
        <w:t>B Eligible</w:t>
      </w:r>
      <w:r w:rsidRPr="0B9E13D9">
        <w:rPr>
          <w:b/>
          <w:bCs/>
        </w:rPr>
        <w:t xml:space="preserve"> </w:t>
      </w:r>
      <w:r w:rsidR="3769B973" w:rsidRPr="0B9E13D9">
        <w:rPr>
          <w:b/>
          <w:bCs/>
        </w:rPr>
        <w:t>P</w:t>
      </w:r>
      <w:r w:rsidRPr="0B9E13D9">
        <w:rPr>
          <w:b/>
          <w:bCs/>
        </w:rPr>
        <w:t xml:space="preserve">ortfolio? What is </w:t>
      </w:r>
      <w:r w:rsidR="7884D2D2" w:rsidRPr="0B9E13D9">
        <w:rPr>
          <w:b/>
          <w:bCs/>
        </w:rPr>
        <w:t xml:space="preserve">the </w:t>
      </w:r>
      <w:r w:rsidRPr="0B9E13D9">
        <w:rPr>
          <w:b/>
          <w:bCs/>
        </w:rPr>
        <w:t>average tenor of new SLLs?</w:t>
      </w:r>
    </w:p>
    <w:p w14:paraId="21B550F7" w14:textId="20B8A9AA" w:rsidR="04D2A6E9" w:rsidRDefault="6469EE57" w:rsidP="001D3AC7">
      <w:pPr>
        <w:spacing w:after="120" w:line="240" w:lineRule="auto"/>
        <w:rPr>
          <w:rFonts w:ascii="Aptos" w:eastAsia="Aptos" w:hAnsi="Aptos" w:cs="Aptos"/>
        </w:rPr>
      </w:pPr>
      <w:r w:rsidRPr="00B42419">
        <w:t xml:space="preserve">The eligible SLLs in the portfolio have had maturities ranging from 4-10 years at disbursement. Currently the average maturity of the portfolio is 6 </w:t>
      </w:r>
      <w:r w:rsidR="5969F937" w:rsidRPr="1A239CE5">
        <w:rPr>
          <w:rFonts w:ascii="Aptos" w:eastAsia="Aptos" w:hAnsi="Aptos" w:cs="Aptos"/>
        </w:rPr>
        <w:t xml:space="preserve">– 7 </w:t>
      </w:r>
      <w:r w:rsidRPr="00B42419">
        <w:t>years.</w:t>
      </w:r>
    </w:p>
    <w:p w14:paraId="2D74A56E" w14:textId="77777777" w:rsidR="00B42419" w:rsidRDefault="00B42419" w:rsidP="001D3AC7">
      <w:pPr>
        <w:spacing w:after="120" w:line="240" w:lineRule="auto"/>
      </w:pPr>
    </w:p>
    <w:p w14:paraId="3F100EB5" w14:textId="1DA111AC" w:rsidR="00197FB5" w:rsidRPr="00B42419" w:rsidRDefault="00197FB5" w:rsidP="0B9E13D9">
      <w:pPr>
        <w:pStyle w:val="ListParagraph"/>
        <w:numPr>
          <w:ilvl w:val="1"/>
          <w:numId w:val="15"/>
        </w:numPr>
        <w:spacing w:after="120" w:line="240" w:lineRule="auto"/>
        <w:ind w:left="426" w:hanging="426"/>
        <w:rPr>
          <w:b/>
          <w:bCs/>
        </w:rPr>
      </w:pPr>
      <w:r w:rsidRPr="0B9E13D9">
        <w:rPr>
          <w:b/>
          <w:bCs/>
        </w:rPr>
        <w:t xml:space="preserve">What is </w:t>
      </w:r>
      <w:r w:rsidR="34D8901D" w:rsidRPr="0B9E13D9">
        <w:rPr>
          <w:b/>
          <w:bCs/>
        </w:rPr>
        <w:t xml:space="preserve">NIB’s </w:t>
      </w:r>
      <w:r w:rsidRPr="0B9E13D9">
        <w:rPr>
          <w:b/>
          <w:bCs/>
        </w:rPr>
        <w:t>outlook for the future growth of the SLL</w:t>
      </w:r>
      <w:r w:rsidR="0E2B55A8" w:rsidRPr="0B9E13D9">
        <w:rPr>
          <w:b/>
          <w:bCs/>
        </w:rPr>
        <w:t>B Eligible</w:t>
      </w:r>
      <w:r w:rsidRPr="0B9E13D9">
        <w:rPr>
          <w:b/>
          <w:bCs/>
        </w:rPr>
        <w:t xml:space="preserve"> </w:t>
      </w:r>
      <w:r w:rsidR="2F4FBFEF" w:rsidRPr="0B9E13D9">
        <w:rPr>
          <w:b/>
          <w:bCs/>
        </w:rPr>
        <w:t>P</w:t>
      </w:r>
      <w:r w:rsidRPr="0B9E13D9">
        <w:rPr>
          <w:b/>
          <w:bCs/>
        </w:rPr>
        <w:t>ortfolio?</w:t>
      </w:r>
    </w:p>
    <w:p w14:paraId="68994D80" w14:textId="67DAE5A2" w:rsidR="2622AAD3" w:rsidRDefault="2622AAD3" w:rsidP="001D3AC7">
      <w:pPr>
        <w:spacing w:after="120" w:line="240" w:lineRule="auto"/>
        <w:jc w:val="both"/>
      </w:pPr>
      <w:r>
        <w:t>Our approach to the growth of the SLL</w:t>
      </w:r>
      <w:r w:rsidR="3387E62D">
        <w:t>B Eligible</w:t>
      </w:r>
      <w:r>
        <w:t xml:space="preserve"> </w:t>
      </w:r>
      <w:r w:rsidR="6356583C">
        <w:t>P</w:t>
      </w:r>
      <w:r>
        <w:t xml:space="preserve">ortfolio prioritizes strong portfolio and alignment with the needs and ambitions of our clients. Rather than pursuing volume for its own sake, we focus on identifying opportunities where SLLs can genuinely support the client’s sustainability goals and where we can </w:t>
      </w:r>
      <w:r w:rsidR="7AF0D037">
        <w:t>set ambitious</w:t>
      </w:r>
      <w:r w:rsidR="079F768E">
        <w:t xml:space="preserve">, </w:t>
      </w:r>
      <w:r w:rsidR="419DC81F">
        <w:t>credible</w:t>
      </w:r>
      <w:r w:rsidR="079F768E">
        <w:t xml:space="preserve"> and material</w:t>
      </w:r>
      <w:r w:rsidR="4FFB78F9">
        <w:t xml:space="preserve"> KPIs</w:t>
      </w:r>
      <w:r w:rsidR="079F768E">
        <w:t xml:space="preserve"> of the SLLs</w:t>
      </w:r>
      <w:r w:rsidR="1A74A087">
        <w:t>, that meet SLLB eligibility criteria.</w:t>
      </w:r>
    </w:p>
    <w:p w14:paraId="0F7E573C" w14:textId="5A1405E3" w:rsidR="0021294F" w:rsidRDefault="0021294F">
      <w:r>
        <w:br w:type="page"/>
      </w:r>
    </w:p>
    <w:p w14:paraId="68ED2AA1" w14:textId="77777777" w:rsidR="00250A9A" w:rsidRPr="00C120A5" w:rsidRDefault="0067252B" w:rsidP="00C120A5">
      <w:pPr>
        <w:pStyle w:val="Heading2"/>
        <w:shd w:val="clear" w:color="auto" w:fill="156082" w:themeFill="accent1"/>
        <w:spacing w:before="0" w:after="120" w:line="240" w:lineRule="auto"/>
        <w:rPr>
          <w:b/>
          <w:bCs/>
          <w:color w:val="FFFFFF" w:themeColor="background1"/>
          <w:sz w:val="28"/>
          <w:szCs w:val="28"/>
        </w:rPr>
      </w:pPr>
      <w:bookmarkStart w:id="7" w:name="_Toc209168292"/>
      <w:r w:rsidRPr="00C120A5">
        <w:rPr>
          <w:b/>
          <w:bCs/>
          <w:color w:val="FFFFFF" w:themeColor="background1"/>
          <w:sz w:val="28"/>
          <w:szCs w:val="28"/>
        </w:rPr>
        <w:t>Reporting</w:t>
      </w:r>
      <w:bookmarkEnd w:id="7"/>
    </w:p>
    <w:p w14:paraId="4DF02660" w14:textId="14A6A933" w:rsidR="76B066F5" w:rsidRDefault="02A128B7" w:rsidP="0B9E13D9">
      <w:pPr>
        <w:pStyle w:val="ListParagraph"/>
        <w:numPr>
          <w:ilvl w:val="1"/>
          <w:numId w:val="15"/>
        </w:numPr>
        <w:spacing w:after="120" w:line="240" w:lineRule="auto"/>
        <w:ind w:left="426" w:hanging="426"/>
        <w:rPr>
          <w:b/>
          <w:bCs/>
        </w:rPr>
      </w:pPr>
      <w:r w:rsidRPr="0B9E13D9">
        <w:rPr>
          <w:b/>
          <w:bCs/>
        </w:rPr>
        <w:t>Do</w:t>
      </w:r>
      <w:r w:rsidR="0FC956B2" w:rsidRPr="0B9E13D9">
        <w:rPr>
          <w:b/>
          <w:bCs/>
        </w:rPr>
        <w:t>es NIB intend to</w:t>
      </w:r>
      <w:r w:rsidRPr="0B9E13D9">
        <w:rPr>
          <w:b/>
          <w:bCs/>
        </w:rPr>
        <w:t xml:space="preserve"> report on companies included in the SLLB?</w:t>
      </w:r>
    </w:p>
    <w:p w14:paraId="36A90A32" w14:textId="1EC80BBB" w:rsidR="7AFAA3BC" w:rsidRPr="00B42419" w:rsidRDefault="7590ACE7" w:rsidP="001D3AC7">
      <w:pPr>
        <w:spacing w:after="120" w:line="240" w:lineRule="auto"/>
        <w:jc w:val="both"/>
        <w:rPr>
          <w:lang w:val="en-GB"/>
        </w:rPr>
      </w:pPr>
      <w:r w:rsidRPr="00B42419">
        <w:rPr>
          <w:rFonts w:eastAsiaTheme="minorEastAsia"/>
          <w:lang w:val="en-GB"/>
        </w:rPr>
        <w:t xml:space="preserve">We will publish </w:t>
      </w:r>
      <w:r w:rsidR="73308DDA" w:rsidRPr="00B42419">
        <w:rPr>
          <w:rFonts w:eastAsiaTheme="minorEastAsia"/>
          <w:lang w:val="en-GB"/>
        </w:rPr>
        <w:t xml:space="preserve">loan-level information about SLLs included in the SLL Eligible Portfolio, including but not limited to borrower and sector, country, year of origination, disbursement amounts, respective KPIs and SPTs, and alignment with the SBTi or other equivalent target-setting initiatives and Paris Climate Agreement trajectory. </w:t>
      </w:r>
    </w:p>
    <w:p w14:paraId="370B795D" w14:textId="1AF18381" w:rsidR="7AFAA3BC" w:rsidRPr="00B42419" w:rsidRDefault="595513E5" w:rsidP="001D3AC7">
      <w:pPr>
        <w:spacing w:after="120" w:line="240" w:lineRule="auto"/>
        <w:jc w:val="both"/>
        <w:rPr>
          <w:lang w:val="en-GB"/>
        </w:rPr>
      </w:pPr>
      <w:r w:rsidRPr="0B9E13D9">
        <w:rPr>
          <w:rFonts w:eastAsiaTheme="minorEastAsia"/>
          <w:lang w:val="en-GB"/>
        </w:rPr>
        <w:t xml:space="preserve">Regarding </w:t>
      </w:r>
      <w:r w:rsidR="6B9A1A88" w:rsidRPr="0B9E13D9">
        <w:rPr>
          <w:rFonts w:eastAsiaTheme="minorEastAsia"/>
          <w:lang w:val="en-GB"/>
        </w:rPr>
        <w:t xml:space="preserve">the annual </w:t>
      </w:r>
      <w:r w:rsidR="73308DDA" w:rsidRPr="0B9E13D9">
        <w:rPr>
          <w:rFonts w:eastAsiaTheme="minorEastAsia"/>
          <w:lang w:val="en-GB"/>
        </w:rPr>
        <w:t>performance</w:t>
      </w:r>
      <w:r w:rsidR="178969E2" w:rsidRPr="0B9E13D9">
        <w:rPr>
          <w:rFonts w:eastAsiaTheme="minorEastAsia"/>
          <w:lang w:val="en-GB"/>
        </w:rPr>
        <w:t xml:space="preserve"> </w:t>
      </w:r>
      <w:r w:rsidR="43774554" w:rsidRPr="0B9E13D9">
        <w:rPr>
          <w:rFonts w:eastAsiaTheme="minorEastAsia"/>
          <w:lang w:val="en-GB"/>
        </w:rPr>
        <w:t>reporting</w:t>
      </w:r>
      <w:r w:rsidR="7A600835" w:rsidRPr="0B9E13D9">
        <w:rPr>
          <w:rFonts w:eastAsiaTheme="minorEastAsia"/>
          <w:lang w:val="en-GB"/>
        </w:rPr>
        <w:t xml:space="preserve">, </w:t>
      </w:r>
      <w:r w:rsidR="6F1F40F1" w:rsidRPr="0B9E13D9">
        <w:rPr>
          <w:rFonts w:eastAsiaTheme="minorEastAsia"/>
          <w:lang w:val="en-GB"/>
        </w:rPr>
        <w:t>NIB</w:t>
      </w:r>
      <w:r w:rsidR="7A600835" w:rsidRPr="0B9E13D9">
        <w:rPr>
          <w:rFonts w:eastAsiaTheme="minorEastAsia"/>
          <w:lang w:val="en-GB"/>
        </w:rPr>
        <w:t xml:space="preserve"> will report </w:t>
      </w:r>
      <w:r w:rsidR="122A2325" w:rsidRPr="0B9E13D9">
        <w:rPr>
          <w:rFonts w:eastAsiaTheme="minorEastAsia"/>
          <w:lang w:val="en-GB"/>
        </w:rPr>
        <w:t xml:space="preserve">on an </w:t>
      </w:r>
      <w:r w:rsidR="73308DDA" w:rsidRPr="0B9E13D9">
        <w:rPr>
          <w:rFonts w:eastAsiaTheme="minorEastAsia"/>
          <w:lang w:val="en-GB"/>
        </w:rPr>
        <w:t>aggregated SLL Eligible Portfolio level, reported separately for Core KPIs and Secondary KPIs (subject to limitations regarding the disclosure of specific borrower names).</w:t>
      </w:r>
    </w:p>
    <w:p w14:paraId="2C6A3874" w14:textId="724AA050" w:rsidR="7AFAA3BC" w:rsidRDefault="7AFAA3BC" w:rsidP="001D3AC7">
      <w:pPr>
        <w:pStyle w:val="ListParagraph"/>
        <w:spacing w:after="120" w:line="240" w:lineRule="auto"/>
        <w:ind w:left="1080"/>
        <w:contextualSpacing w:val="0"/>
      </w:pPr>
    </w:p>
    <w:p w14:paraId="73075274" w14:textId="7DD59EF1" w:rsidR="00353F71" w:rsidRPr="00B42419" w:rsidRDefault="005559BD" w:rsidP="0B9E13D9">
      <w:pPr>
        <w:pStyle w:val="ListParagraph"/>
        <w:numPr>
          <w:ilvl w:val="1"/>
          <w:numId w:val="15"/>
        </w:numPr>
        <w:spacing w:after="120" w:line="240" w:lineRule="auto"/>
        <w:ind w:left="426" w:hanging="426"/>
        <w:rPr>
          <w:b/>
          <w:bCs/>
        </w:rPr>
      </w:pPr>
      <w:r w:rsidRPr="0B9E13D9">
        <w:rPr>
          <w:rFonts w:eastAsiaTheme="minorEastAsia"/>
          <w:b/>
          <w:bCs/>
        </w:rPr>
        <w:t>D</w:t>
      </w:r>
      <w:r w:rsidR="00197FB5" w:rsidRPr="0B9E13D9">
        <w:rPr>
          <w:rFonts w:eastAsiaTheme="minorEastAsia"/>
          <w:b/>
          <w:bCs/>
        </w:rPr>
        <w:t>o</w:t>
      </w:r>
      <w:r w:rsidR="466C7CC8" w:rsidRPr="0B9E13D9">
        <w:rPr>
          <w:rFonts w:eastAsiaTheme="minorEastAsia"/>
          <w:b/>
          <w:bCs/>
        </w:rPr>
        <w:t>es NIB intend to</w:t>
      </w:r>
      <w:r w:rsidR="00197FB5" w:rsidRPr="0B9E13D9">
        <w:rPr>
          <w:rFonts w:eastAsiaTheme="minorEastAsia"/>
          <w:b/>
          <w:bCs/>
        </w:rPr>
        <w:t xml:space="preserve"> measure </w:t>
      </w:r>
      <w:r w:rsidRPr="0B9E13D9">
        <w:rPr>
          <w:rFonts w:eastAsiaTheme="minorEastAsia"/>
          <w:b/>
          <w:bCs/>
        </w:rPr>
        <w:t xml:space="preserve">the </w:t>
      </w:r>
      <w:r w:rsidR="00197FB5" w:rsidRPr="0B9E13D9">
        <w:rPr>
          <w:rFonts w:eastAsiaTheme="minorEastAsia"/>
          <w:b/>
          <w:bCs/>
        </w:rPr>
        <w:t>impact of SLLs</w:t>
      </w:r>
      <w:r w:rsidRPr="0B9E13D9">
        <w:rPr>
          <w:rFonts w:eastAsiaTheme="minorEastAsia"/>
          <w:b/>
          <w:bCs/>
        </w:rPr>
        <w:t>,</w:t>
      </w:r>
      <w:r w:rsidR="00AE2979" w:rsidRPr="0B9E13D9">
        <w:rPr>
          <w:rFonts w:eastAsiaTheme="minorEastAsia"/>
          <w:b/>
          <w:bCs/>
        </w:rPr>
        <w:t xml:space="preserve"> </w:t>
      </w:r>
      <w:r w:rsidR="3E608D90" w:rsidRPr="0B9E13D9">
        <w:rPr>
          <w:rFonts w:eastAsiaTheme="minorEastAsia"/>
          <w:b/>
          <w:bCs/>
        </w:rPr>
        <w:t>a</w:t>
      </w:r>
      <w:r w:rsidRPr="0B9E13D9">
        <w:rPr>
          <w:rFonts w:eastAsiaTheme="minorEastAsia"/>
          <w:b/>
          <w:bCs/>
        </w:rPr>
        <w:t xml:space="preserve">nd if so </w:t>
      </w:r>
      <w:r w:rsidR="00B42419" w:rsidRPr="0B9E13D9">
        <w:rPr>
          <w:rFonts w:eastAsiaTheme="minorEastAsia"/>
          <w:b/>
          <w:bCs/>
        </w:rPr>
        <w:t xml:space="preserve">- </w:t>
      </w:r>
      <w:r w:rsidRPr="0B9E13D9">
        <w:rPr>
          <w:rFonts w:eastAsiaTheme="minorEastAsia"/>
          <w:b/>
          <w:bCs/>
        </w:rPr>
        <w:t>how</w:t>
      </w:r>
      <w:r w:rsidR="00AE2979" w:rsidRPr="0B9E13D9">
        <w:rPr>
          <w:rFonts w:eastAsiaTheme="minorEastAsia"/>
          <w:b/>
          <w:bCs/>
        </w:rPr>
        <w:t>?</w:t>
      </w:r>
    </w:p>
    <w:p w14:paraId="003F9347" w14:textId="5180536D" w:rsidR="00AA03D0" w:rsidRPr="00AA03D0" w:rsidRDefault="00AA03D0" w:rsidP="001D3AC7">
      <w:pPr>
        <w:spacing w:after="120" w:line="240" w:lineRule="auto"/>
        <w:jc w:val="both"/>
        <w:rPr>
          <w:rFonts w:ascii="Aptos" w:eastAsia="Aptos" w:hAnsi="Aptos" w:cs="Aptos"/>
        </w:rPr>
      </w:pPr>
      <w:r w:rsidRPr="1A239CE5">
        <w:rPr>
          <w:rFonts w:eastAsiaTheme="minorEastAsia" w:cs="Aptos"/>
          <w:szCs w:val="22"/>
        </w:rPr>
        <w:t>For SLLBs, the primary reporting focus is on progress toward the selected KPIs and SPTs, rather than the direct impact of any</w:t>
      </w:r>
      <w:r w:rsidR="00B42419" w:rsidRPr="1A239CE5">
        <w:rPr>
          <w:rFonts w:eastAsiaTheme="minorEastAsia" w:cs="Aptos"/>
          <w:szCs w:val="22"/>
        </w:rPr>
        <w:t xml:space="preserve"> </w:t>
      </w:r>
      <w:proofErr w:type="spellStart"/>
      <w:r w:rsidRPr="1A239CE5">
        <w:rPr>
          <w:rFonts w:eastAsiaTheme="minorEastAsia" w:cs="Aptos"/>
          <w:szCs w:val="22"/>
        </w:rPr>
        <w:t>UoP</w:t>
      </w:r>
      <w:proofErr w:type="spellEnd"/>
      <w:r w:rsidRPr="1A239CE5">
        <w:rPr>
          <w:rFonts w:eastAsiaTheme="minorEastAsia" w:cs="Aptos"/>
          <w:szCs w:val="22"/>
        </w:rPr>
        <w:t xml:space="preserve"> bonds. This approach enables tracking the SLLB’s contribution to a single sustainability objective</w:t>
      </w:r>
      <w:r w:rsidR="00B42419">
        <w:rPr>
          <w:rFonts w:ascii="Aptos" w:eastAsia="Aptos" w:hAnsi="Aptos" w:cs="Aptos"/>
          <w:szCs w:val="22"/>
        </w:rPr>
        <w:t xml:space="preserve">, </w:t>
      </w:r>
      <w:r w:rsidRPr="1A239CE5">
        <w:rPr>
          <w:rFonts w:eastAsiaTheme="minorEastAsia" w:cs="Aptos"/>
          <w:szCs w:val="22"/>
        </w:rPr>
        <w:t>namely, climate change impact reduction.</w:t>
      </w:r>
    </w:p>
    <w:p w14:paraId="12286F5A" w14:textId="262B2E90" w:rsidR="186A95AF" w:rsidRDefault="00AA03D0" w:rsidP="001D3AC7">
      <w:pPr>
        <w:spacing w:after="120" w:line="240" w:lineRule="auto"/>
        <w:jc w:val="both"/>
        <w:rPr>
          <w:rFonts w:ascii="Aptos" w:eastAsia="Aptos" w:hAnsi="Aptos" w:cs="Aptos"/>
        </w:rPr>
      </w:pPr>
      <w:r w:rsidRPr="1A239CE5">
        <w:rPr>
          <w:rFonts w:eastAsiaTheme="minorEastAsia" w:cs="Aptos"/>
          <w:szCs w:val="22"/>
        </w:rPr>
        <w:t xml:space="preserve">Unlike </w:t>
      </w:r>
      <w:proofErr w:type="spellStart"/>
      <w:r w:rsidRPr="1A239CE5">
        <w:rPr>
          <w:rFonts w:eastAsiaTheme="minorEastAsia" w:cs="Aptos"/>
          <w:szCs w:val="22"/>
        </w:rPr>
        <w:t>UoP</w:t>
      </w:r>
      <w:proofErr w:type="spellEnd"/>
      <w:r w:rsidRPr="1A239CE5">
        <w:rPr>
          <w:rFonts w:eastAsiaTheme="minorEastAsia" w:cs="Aptos"/>
          <w:szCs w:val="22"/>
        </w:rPr>
        <w:t xml:space="preserve"> instruments, where proceeds are earmarked for specific projects or assets, SLLs are general-purpose loans that support a company’s broader transition strategy. In this context, the issuer acts more as an enabler or facilitator of </w:t>
      </w:r>
      <w:r w:rsidR="00F438EA" w:rsidRPr="1A239CE5">
        <w:rPr>
          <w:rFonts w:eastAsiaTheme="minorEastAsia" w:cs="Aptos"/>
          <w:szCs w:val="22"/>
        </w:rPr>
        <w:t>the outcomes</w:t>
      </w:r>
      <w:r w:rsidRPr="1A239CE5">
        <w:rPr>
          <w:rFonts w:eastAsiaTheme="minorEastAsia" w:cs="Aptos"/>
          <w:szCs w:val="22"/>
        </w:rPr>
        <w:t xml:space="preserve"> achieved by the SLL borrowers. Since the impact is delivered through the</w:t>
      </w:r>
      <w:r w:rsidR="009375A0" w:rsidRPr="1A239CE5">
        <w:rPr>
          <w:rFonts w:eastAsiaTheme="minorEastAsia" w:cs="Aptos"/>
          <w:szCs w:val="22"/>
        </w:rPr>
        <w:t xml:space="preserve"> changes in the</w:t>
      </w:r>
      <w:r w:rsidRPr="1A239CE5">
        <w:rPr>
          <w:rFonts w:eastAsiaTheme="minorEastAsia" w:cs="Aptos"/>
          <w:szCs w:val="22"/>
        </w:rPr>
        <w:t xml:space="preserve"> borrowers’ performance, not through direct project financing, it is more challenging </w:t>
      </w:r>
      <w:r w:rsidR="00EC4D27" w:rsidRPr="1A239CE5">
        <w:rPr>
          <w:rFonts w:eastAsiaTheme="minorEastAsia" w:cs="Aptos"/>
          <w:szCs w:val="22"/>
        </w:rPr>
        <w:t>for SLLBs</w:t>
      </w:r>
      <w:r w:rsidRPr="1A239CE5">
        <w:rPr>
          <w:rFonts w:eastAsiaTheme="minorEastAsia" w:cs="Aptos"/>
          <w:szCs w:val="22"/>
        </w:rPr>
        <w:t xml:space="preserve"> to claim specific impacts.</w:t>
      </w:r>
    </w:p>
    <w:p w14:paraId="79CA1B7E" w14:textId="77777777" w:rsidR="00B42419" w:rsidRDefault="00B42419" w:rsidP="001D3AC7">
      <w:pPr>
        <w:spacing w:after="120" w:line="240" w:lineRule="auto"/>
        <w:jc w:val="both"/>
        <w:rPr>
          <w:rFonts w:ascii="Aptos" w:eastAsia="Aptos" w:hAnsi="Aptos" w:cs="Aptos"/>
          <w:szCs w:val="22"/>
        </w:rPr>
      </w:pPr>
    </w:p>
    <w:p w14:paraId="2FA0B217" w14:textId="17C9B5FE" w:rsidR="00197FB5" w:rsidRPr="00353F71" w:rsidRDefault="7BA96E53" w:rsidP="001D3AC7">
      <w:pPr>
        <w:pStyle w:val="ListParagraph"/>
        <w:numPr>
          <w:ilvl w:val="1"/>
          <w:numId w:val="15"/>
        </w:numPr>
        <w:spacing w:after="120" w:line="240" w:lineRule="auto"/>
        <w:ind w:left="426" w:hanging="426"/>
        <w:contextualSpacing w:val="0"/>
        <w:rPr>
          <w:rFonts w:eastAsiaTheme="minorEastAsia"/>
          <w:b/>
          <w:szCs w:val="22"/>
        </w:rPr>
      </w:pPr>
      <w:r w:rsidRPr="1A239CE5">
        <w:rPr>
          <w:rFonts w:eastAsiaTheme="minorEastAsia"/>
          <w:b/>
          <w:szCs w:val="22"/>
        </w:rPr>
        <w:t>Is there any risk of double counting if NIB is providing funding for the same company under both SLLB and NEBs?</w:t>
      </w:r>
    </w:p>
    <w:p w14:paraId="65CF4A02" w14:textId="55108FE5" w:rsidR="33C2BC40" w:rsidRDefault="33C2BC40" w:rsidP="001D3AC7">
      <w:pPr>
        <w:spacing w:after="120" w:line="240" w:lineRule="auto"/>
      </w:pPr>
      <w:r w:rsidRPr="6E4C7EC4">
        <w:rPr>
          <w:rFonts w:ascii="Aptos" w:eastAsia="Aptos" w:hAnsi="Aptos" w:cs="Aptos"/>
        </w:rPr>
        <w:t>No, NIB has processes in place to ensure that there is no double counting.</w:t>
      </w:r>
    </w:p>
    <w:p w14:paraId="780674C6" w14:textId="32AF9FD5" w:rsidR="186A95AF" w:rsidRDefault="186A95AF" w:rsidP="001D3AC7">
      <w:pPr>
        <w:spacing w:after="120" w:line="240" w:lineRule="auto"/>
        <w:rPr>
          <w:szCs w:val="22"/>
        </w:rPr>
      </w:pPr>
    </w:p>
    <w:p w14:paraId="214CC925" w14:textId="71497BF5" w:rsidR="003420AF" w:rsidRPr="00C120A5" w:rsidRDefault="003420AF" w:rsidP="003420AF">
      <w:pPr>
        <w:pStyle w:val="Heading2"/>
        <w:shd w:val="clear" w:color="auto" w:fill="156082" w:themeFill="accent1"/>
        <w:spacing w:before="0" w:after="120" w:line="240" w:lineRule="auto"/>
        <w:rPr>
          <w:b/>
          <w:bCs/>
          <w:color w:val="FFFFFF" w:themeColor="background1"/>
          <w:sz w:val="28"/>
          <w:szCs w:val="28"/>
        </w:rPr>
      </w:pPr>
      <w:bookmarkStart w:id="8" w:name="_Toc209168293"/>
      <w:r>
        <w:rPr>
          <w:b/>
          <w:bCs/>
          <w:color w:val="FFFFFF" w:themeColor="background1"/>
          <w:sz w:val="28"/>
          <w:szCs w:val="28"/>
        </w:rPr>
        <w:t>NIB</w:t>
      </w:r>
      <w:r w:rsidR="00951184">
        <w:rPr>
          <w:b/>
          <w:bCs/>
          <w:color w:val="FFFFFF" w:themeColor="background1"/>
          <w:sz w:val="28"/>
          <w:szCs w:val="28"/>
        </w:rPr>
        <w:t>’s</w:t>
      </w:r>
      <w:r w:rsidR="00CC0F9A">
        <w:rPr>
          <w:b/>
          <w:bCs/>
          <w:color w:val="FFFFFF" w:themeColor="background1"/>
          <w:sz w:val="28"/>
          <w:szCs w:val="28"/>
        </w:rPr>
        <w:t xml:space="preserve"> operations</w:t>
      </w:r>
      <w:bookmarkEnd w:id="8"/>
    </w:p>
    <w:p w14:paraId="03D3E570" w14:textId="01894F5A" w:rsidR="00710D13" w:rsidRPr="00710D13" w:rsidRDefault="00710D13" w:rsidP="0086498E">
      <w:pPr>
        <w:pStyle w:val="ListParagraph"/>
        <w:numPr>
          <w:ilvl w:val="1"/>
          <w:numId w:val="15"/>
        </w:numPr>
        <w:spacing w:after="120" w:line="240" w:lineRule="auto"/>
        <w:ind w:left="426" w:hanging="426"/>
        <w:contextualSpacing w:val="0"/>
        <w:jc w:val="both"/>
        <w:rPr>
          <w:rFonts w:eastAsiaTheme="minorEastAsia"/>
          <w:b/>
          <w:szCs w:val="22"/>
        </w:rPr>
      </w:pPr>
      <w:r w:rsidRPr="00710D13">
        <w:rPr>
          <w:rFonts w:eastAsiaTheme="minorEastAsia"/>
          <w:b/>
          <w:szCs w:val="22"/>
        </w:rPr>
        <w:t xml:space="preserve">Does at least 20% of your operations promote the </w:t>
      </w:r>
      <w:r w:rsidR="0086498E" w:rsidRPr="0086498E">
        <w:rPr>
          <w:rFonts w:eastAsiaTheme="minorEastAsia"/>
          <w:b/>
          <w:szCs w:val="22"/>
        </w:rPr>
        <w:t>United Nations Sustainable Development Goals</w:t>
      </w:r>
      <w:r w:rsidR="0086498E">
        <w:rPr>
          <w:rFonts w:eastAsiaTheme="minorEastAsia"/>
          <w:b/>
          <w:szCs w:val="22"/>
        </w:rPr>
        <w:t xml:space="preserve"> (</w:t>
      </w:r>
      <w:r w:rsidRPr="00710D13">
        <w:rPr>
          <w:rFonts w:eastAsiaTheme="minorEastAsia"/>
          <w:b/>
          <w:szCs w:val="22"/>
        </w:rPr>
        <w:t>UN SDGs</w:t>
      </w:r>
      <w:r w:rsidR="0086498E">
        <w:rPr>
          <w:rFonts w:eastAsiaTheme="minorEastAsia"/>
          <w:b/>
          <w:szCs w:val="22"/>
        </w:rPr>
        <w:t>)</w:t>
      </w:r>
      <w:r w:rsidRPr="00710D13">
        <w:rPr>
          <w:rFonts w:eastAsiaTheme="minorEastAsia"/>
          <w:b/>
          <w:szCs w:val="22"/>
        </w:rPr>
        <w:t>?</w:t>
      </w:r>
    </w:p>
    <w:p w14:paraId="1F36F1BD" w14:textId="70BDCD8C" w:rsidR="00710D13" w:rsidRPr="00710D13" w:rsidRDefault="00710D13" w:rsidP="00710D13">
      <w:pPr>
        <w:spacing w:after="120" w:line="240" w:lineRule="auto"/>
        <w:jc w:val="both"/>
        <w:rPr>
          <w:rFonts w:eastAsiaTheme="minorEastAsia" w:cs="Aptos"/>
          <w:szCs w:val="22"/>
        </w:rPr>
      </w:pPr>
      <w:r w:rsidRPr="00710D13">
        <w:rPr>
          <w:rFonts w:eastAsiaTheme="minorEastAsia" w:cs="Aptos"/>
          <w:szCs w:val="22"/>
        </w:rPr>
        <w:t xml:space="preserve">NIB finances only projects that promote productivity gains and environmental benefits for the Nordic and Baltic countries </w:t>
      </w:r>
      <w:proofErr w:type="gramStart"/>
      <w:r w:rsidRPr="00710D13">
        <w:rPr>
          <w:rFonts w:eastAsiaTheme="minorEastAsia" w:cs="Aptos"/>
          <w:szCs w:val="22"/>
        </w:rPr>
        <w:t>in order to</w:t>
      </w:r>
      <w:proofErr w:type="gramEnd"/>
      <w:r w:rsidRPr="00710D13">
        <w:rPr>
          <w:rFonts w:eastAsiaTheme="minorEastAsia" w:cs="Aptos"/>
          <w:szCs w:val="22"/>
        </w:rPr>
        <w:t xml:space="preserve"> support a prosperous and sustainable Member Region. Before any financing is granted, NIB assesses how the projects fulfil our mandate. In addition, all loan projects undergo a sustainability and ESG review. NIB’s exclusion list ensures that activities and projects that are not aligned with SDGs will not be financed. Below distribution showcases NIB’s lending and how it corresponds to the mandate. More than 99% of loans have good or better mandate rating in 2024. Below also a mapping of NIB’s mandate against SDGs, to highlight NIB’s overall role in addressing sustainable growth, climate change, protection of marine environments, pollution prevention and productivity improvements.</w:t>
      </w:r>
    </w:p>
    <w:p w14:paraId="716BF1B2" w14:textId="50991BB7" w:rsidR="00710D13" w:rsidRPr="00710D13" w:rsidRDefault="00710D13" w:rsidP="00710D13">
      <w:pPr>
        <w:spacing w:after="120" w:line="240" w:lineRule="auto"/>
        <w:jc w:val="both"/>
        <w:rPr>
          <w:rFonts w:eastAsiaTheme="minorEastAsia" w:cs="Aptos"/>
          <w:szCs w:val="22"/>
        </w:rPr>
      </w:pPr>
      <w:r w:rsidRPr="00710D13">
        <w:rPr>
          <w:rFonts w:eastAsiaTheme="minorEastAsia" w:cs="Aptos"/>
          <w:szCs w:val="22"/>
        </w:rPr>
        <w:t xml:space="preserve"> As per the H1’25 report, NIB had EUR 44 bn assets, of which EUR 14.85 bn contributed to climate change mitigation. Though NIB no longer tracks aggregated contribution to the SDGs, according to the previous sentence &gt;20% of the portfolio should contribute to the SDGs based on climate change mitigation alone.</w:t>
      </w:r>
    </w:p>
    <w:p w14:paraId="55241D8B" w14:textId="5852545B" w:rsidR="00710D13" w:rsidRPr="00710D13" w:rsidRDefault="0021294F" w:rsidP="00710D13">
      <w:pPr>
        <w:spacing w:after="120" w:line="240" w:lineRule="auto"/>
        <w:jc w:val="center"/>
        <w:rPr>
          <w:rFonts w:cs="Arial"/>
          <w:sz w:val="44"/>
          <w:szCs w:val="44"/>
        </w:rPr>
      </w:pPr>
      <w:r>
        <w:rPr>
          <w:rFonts w:cs="Arial"/>
          <w:noProof/>
          <w:sz w:val="44"/>
          <w:szCs w:val="44"/>
        </w:rPr>
        <w:drawing>
          <wp:anchor distT="0" distB="0" distL="114300" distR="114300" simplePos="0" relativeHeight="251658241" behindDoc="0" locked="0" layoutInCell="1" allowOverlap="1" wp14:anchorId="1DB094A9" wp14:editId="46233225">
            <wp:simplePos x="0" y="0"/>
            <wp:positionH relativeFrom="margin">
              <wp:posOffset>180000</wp:posOffset>
            </wp:positionH>
            <wp:positionV relativeFrom="paragraph">
              <wp:posOffset>-117148</wp:posOffset>
            </wp:positionV>
            <wp:extent cx="4195851" cy="2833735"/>
            <wp:effectExtent l="0" t="0" r="0" b="5080"/>
            <wp:wrapNone/>
            <wp:docPr id="15394813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195851" cy="2833735"/>
                    </a:xfrm>
                    <a:prstGeom prst="rect">
                      <a:avLst/>
                    </a:prstGeom>
                    <a:noFill/>
                  </pic:spPr>
                </pic:pic>
              </a:graphicData>
            </a:graphic>
            <wp14:sizeRelH relativeFrom="margin">
              <wp14:pctWidth>0</wp14:pctWidth>
            </wp14:sizeRelH>
            <wp14:sizeRelV relativeFrom="margin">
              <wp14:pctHeight>0</wp14:pctHeight>
            </wp14:sizeRelV>
          </wp:anchor>
        </w:drawing>
      </w:r>
      <w:r w:rsidR="00710D13" w:rsidRPr="00710D13">
        <w:rPr>
          <w:rFonts w:cs="Arial"/>
          <w:sz w:val="44"/>
          <w:szCs w:val="44"/>
        </w:rPr>
        <w:t xml:space="preserve"> </w:t>
      </w:r>
    </w:p>
    <w:p w14:paraId="658E3C47" w14:textId="02F050A4" w:rsidR="00710D13" w:rsidRPr="00710D13" w:rsidRDefault="00710D13" w:rsidP="00710D13">
      <w:pPr>
        <w:spacing w:after="120" w:line="240" w:lineRule="auto"/>
        <w:jc w:val="center"/>
        <w:rPr>
          <w:rFonts w:cs="Arial"/>
          <w:sz w:val="44"/>
          <w:szCs w:val="44"/>
        </w:rPr>
      </w:pPr>
    </w:p>
    <w:p w14:paraId="1CAB6762" w14:textId="29E20F91" w:rsidR="00710D13" w:rsidRPr="00710D13" w:rsidRDefault="00710D13" w:rsidP="00710D13">
      <w:pPr>
        <w:spacing w:after="120" w:line="240" w:lineRule="auto"/>
        <w:jc w:val="center"/>
        <w:rPr>
          <w:rFonts w:cs="Arial"/>
          <w:sz w:val="44"/>
          <w:szCs w:val="44"/>
        </w:rPr>
      </w:pPr>
    </w:p>
    <w:p w14:paraId="76A9CA2E" w14:textId="20936905" w:rsidR="00710D13" w:rsidRPr="00710D13" w:rsidRDefault="00710D13" w:rsidP="00710D13">
      <w:pPr>
        <w:spacing w:after="120" w:line="240" w:lineRule="auto"/>
        <w:jc w:val="center"/>
        <w:rPr>
          <w:rFonts w:cs="Arial"/>
          <w:sz w:val="44"/>
          <w:szCs w:val="44"/>
        </w:rPr>
      </w:pPr>
      <w:r w:rsidRPr="00710D13">
        <w:rPr>
          <w:rFonts w:cs="Arial"/>
          <w:sz w:val="44"/>
          <w:szCs w:val="44"/>
        </w:rPr>
        <w:t xml:space="preserve"> </w:t>
      </w:r>
    </w:p>
    <w:p w14:paraId="6ABE2DA9" w14:textId="30B46C26" w:rsidR="00710D13" w:rsidRPr="00710D13" w:rsidRDefault="00710D13" w:rsidP="00710D13">
      <w:pPr>
        <w:spacing w:after="120" w:line="240" w:lineRule="auto"/>
        <w:jc w:val="center"/>
        <w:rPr>
          <w:rFonts w:cs="Arial"/>
          <w:sz w:val="44"/>
          <w:szCs w:val="44"/>
        </w:rPr>
      </w:pPr>
    </w:p>
    <w:p w14:paraId="1CEA9C6A" w14:textId="2419E77B" w:rsidR="00710D13" w:rsidRPr="00710D13" w:rsidRDefault="00710D13" w:rsidP="00710D13">
      <w:pPr>
        <w:spacing w:after="120" w:line="240" w:lineRule="auto"/>
        <w:jc w:val="center"/>
        <w:rPr>
          <w:rFonts w:cs="Arial"/>
          <w:sz w:val="44"/>
          <w:szCs w:val="44"/>
        </w:rPr>
      </w:pPr>
    </w:p>
    <w:p w14:paraId="18EC2DF1" w14:textId="10D22EF5" w:rsidR="0067252B" w:rsidRPr="0067252B" w:rsidRDefault="0021294F" w:rsidP="001D3AC7">
      <w:pPr>
        <w:spacing w:after="120" w:line="240" w:lineRule="auto"/>
        <w:jc w:val="center"/>
        <w:rPr>
          <w:rFonts w:cs="Arial"/>
          <w:sz w:val="44"/>
          <w:szCs w:val="44"/>
        </w:rPr>
      </w:pPr>
      <w:r>
        <w:rPr>
          <w:noProof/>
          <w:lang w:val="en-GB"/>
        </w:rPr>
        <w:drawing>
          <wp:anchor distT="0" distB="0" distL="114300" distR="114300" simplePos="0" relativeHeight="251658242" behindDoc="0" locked="0" layoutInCell="1" allowOverlap="1" wp14:anchorId="6A60153D" wp14:editId="33D41B2F">
            <wp:simplePos x="0" y="0"/>
            <wp:positionH relativeFrom="margin">
              <wp:align>center</wp:align>
            </wp:positionH>
            <wp:positionV relativeFrom="paragraph">
              <wp:posOffset>456483</wp:posOffset>
            </wp:positionV>
            <wp:extent cx="5658416" cy="3043212"/>
            <wp:effectExtent l="0" t="0" r="0" b="5080"/>
            <wp:wrapNone/>
            <wp:docPr id="905349472" name="Picture 2"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349472" name="Picture 2" descr="A screenshot of a website&#10;&#10;AI-generated content may be incorrect."/>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5658416" cy="3043212"/>
                    </a:xfrm>
                    <a:prstGeom prst="rect">
                      <a:avLst/>
                    </a:prstGeom>
                    <a:noFill/>
                    <a:ln>
                      <a:noFill/>
                    </a:ln>
                  </pic:spPr>
                </pic:pic>
              </a:graphicData>
            </a:graphic>
          </wp:anchor>
        </w:drawing>
      </w:r>
    </w:p>
    <w:sectPr w:rsidR="0067252B" w:rsidRPr="0067252B" w:rsidSect="00451E16">
      <w:headerReference w:type="even" r:id="rId36"/>
      <w:headerReference w:type="default" r:id="rId37"/>
      <w:footerReference w:type="default" r:id="rId38"/>
      <w:headerReference w:type="first" r:id="rId39"/>
      <w:pgSz w:w="12240" w:h="15840"/>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F2476" w14:textId="77777777" w:rsidR="004A61BF" w:rsidRDefault="004A61BF" w:rsidP="000A3588">
      <w:pPr>
        <w:spacing w:after="0" w:line="240" w:lineRule="auto"/>
      </w:pPr>
      <w:r>
        <w:separator/>
      </w:r>
    </w:p>
  </w:endnote>
  <w:endnote w:type="continuationSeparator" w:id="0">
    <w:p w14:paraId="697AA190" w14:textId="77777777" w:rsidR="004A61BF" w:rsidRDefault="004A61BF" w:rsidP="000A3588">
      <w:pPr>
        <w:spacing w:after="0" w:line="240" w:lineRule="auto"/>
      </w:pPr>
      <w:r>
        <w:continuationSeparator/>
      </w:r>
    </w:p>
  </w:endnote>
  <w:endnote w:type="continuationNotice" w:id="1">
    <w:p w14:paraId="0E80ACA6" w14:textId="77777777" w:rsidR="004A61BF" w:rsidRDefault="004A61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2109926"/>
      <w:docPartObj>
        <w:docPartGallery w:val="Page Numbers (Bottom of Page)"/>
        <w:docPartUnique/>
      </w:docPartObj>
    </w:sdtPr>
    <w:sdtEndPr>
      <w:rPr>
        <w:noProof/>
      </w:rPr>
    </w:sdtEndPr>
    <w:sdtContent>
      <w:p w14:paraId="56E1272D" w14:textId="67216F3A" w:rsidR="00B42419" w:rsidRDefault="00B4241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D9EB30A" w14:textId="57B66005" w:rsidR="000A3588" w:rsidRDefault="000A35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F5CF0" w14:textId="77777777" w:rsidR="004A61BF" w:rsidRDefault="004A61BF" w:rsidP="000A3588">
      <w:pPr>
        <w:spacing w:after="0" w:line="240" w:lineRule="auto"/>
      </w:pPr>
      <w:r>
        <w:separator/>
      </w:r>
    </w:p>
  </w:footnote>
  <w:footnote w:type="continuationSeparator" w:id="0">
    <w:p w14:paraId="60EB17C4" w14:textId="77777777" w:rsidR="004A61BF" w:rsidRDefault="004A61BF" w:rsidP="000A3588">
      <w:pPr>
        <w:spacing w:after="0" w:line="240" w:lineRule="auto"/>
      </w:pPr>
      <w:r>
        <w:continuationSeparator/>
      </w:r>
    </w:p>
  </w:footnote>
  <w:footnote w:type="continuationNotice" w:id="1">
    <w:p w14:paraId="13A9CAC9" w14:textId="77777777" w:rsidR="004A61BF" w:rsidRDefault="004A61B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83E58" w14:textId="296ED793" w:rsidR="000A3588" w:rsidRDefault="00015924">
    <w:pPr>
      <w:pStyle w:val="Header"/>
    </w:pPr>
    <w:r>
      <w:rPr>
        <w:noProof/>
      </w:rPr>
      <mc:AlternateContent>
        <mc:Choice Requires="wps">
          <w:drawing>
            <wp:anchor distT="0" distB="0" distL="0" distR="0" simplePos="0" relativeHeight="251658241" behindDoc="0" locked="0" layoutInCell="1" allowOverlap="1" wp14:anchorId="1C50E2EB" wp14:editId="0A52D499">
              <wp:simplePos x="635" y="635"/>
              <wp:positionH relativeFrom="page">
                <wp:align>right</wp:align>
              </wp:positionH>
              <wp:positionV relativeFrom="page">
                <wp:align>top</wp:align>
              </wp:positionV>
              <wp:extent cx="1092200" cy="352425"/>
              <wp:effectExtent l="0" t="0" r="0" b="9525"/>
              <wp:wrapNone/>
              <wp:docPr id="916279008" name="Text Box 2" descr="NIB Internal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092200" cy="352425"/>
                      </a:xfrm>
                      <a:prstGeom prst="rect">
                        <a:avLst/>
                      </a:prstGeom>
                      <a:noFill/>
                      <a:ln>
                        <a:noFill/>
                      </a:ln>
                    </wps:spPr>
                    <wps:txbx>
                      <w:txbxContent>
                        <w:p w14:paraId="2AEE9083" w14:textId="1D2AB447" w:rsidR="00015924" w:rsidRPr="00015924" w:rsidRDefault="00015924" w:rsidP="00015924">
                          <w:pPr>
                            <w:spacing w:after="0"/>
                            <w:rPr>
                              <w:rFonts w:ascii="Aptos" w:eastAsia="Aptos" w:hAnsi="Aptos" w:cs="Aptos"/>
                              <w:noProof/>
                              <w:color w:val="0000FF"/>
                              <w:sz w:val="20"/>
                            </w:rPr>
                          </w:pPr>
                          <w:r w:rsidRPr="00015924">
                            <w:rPr>
                              <w:rFonts w:ascii="Aptos" w:eastAsia="Aptos" w:hAnsi="Aptos" w:cs="Aptos"/>
                              <w:noProof/>
                              <w:color w:val="0000FF"/>
                              <w:sz w:val="20"/>
                            </w:rPr>
                            <w:t>NIB Internal use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C50E2EB" id="_x0000_t202" coordsize="21600,21600" o:spt="202" path="m,l,21600r21600,l21600,xe">
              <v:stroke joinstyle="miter"/>
              <v:path gradientshapeok="t" o:connecttype="rect"/>
            </v:shapetype>
            <v:shape id="Text Box 2" o:spid="_x0000_s1026" type="#_x0000_t202" alt="NIB Internal use" style="position:absolute;margin-left:34.8pt;margin-top:0;width:86pt;height:27.75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" filled="f" stroked="f">
              <v:textbox style="mso-fit-shape-to-text:t" inset="0,15pt,20pt,0">
                <w:txbxContent>
                  <w:p w14:paraId="2AEE9083" w14:textId="1D2AB447" w:rsidR="00015924" w:rsidRPr="00015924" w:rsidRDefault="00015924" w:rsidP="00015924">
                    <w:pPr>
                      <w:spacing w:after="0"/>
                      <w:rPr>
                        <w:rFonts w:ascii="Aptos" w:eastAsia="Aptos" w:hAnsi="Aptos" w:cs="Aptos"/>
                        <w:noProof/>
                        <w:color w:val="0000FF"/>
                        <w:sz w:val="20"/>
                      </w:rPr>
                    </w:pPr>
                    <w:r w:rsidRPr="00015924">
                      <w:rPr>
                        <w:rFonts w:ascii="Aptos" w:eastAsia="Aptos" w:hAnsi="Aptos" w:cs="Aptos"/>
                        <w:noProof/>
                        <w:color w:val="0000FF"/>
                        <w:sz w:val="20"/>
                      </w:rPr>
                      <w:t>NIB Internal use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21CC0" w14:textId="2F7E5618" w:rsidR="000A3588" w:rsidRDefault="00015924">
    <w:pPr>
      <w:pStyle w:val="Header"/>
    </w:pPr>
    <w:r>
      <w:rPr>
        <w:noProof/>
      </w:rPr>
      <mc:AlternateContent>
        <mc:Choice Requires="wps">
          <w:drawing>
            <wp:anchor distT="0" distB="0" distL="0" distR="0" simplePos="0" relativeHeight="251658242" behindDoc="0" locked="0" layoutInCell="1" allowOverlap="1" wp14:anchorId="1CB9B07C" wp14:editId="553837DB">
              <wp:simplePos x="0" y="0"/>
              <wp:positionH relativeFrom="page">
                <wp:posOffset>6448048</wp:posOffset>
              </wp:positionH>
              <wp:positionV relativeFrom="page">
                <wp:posOffset>54320</wp:posOffset>
              </wp:positionV>
              <wp:extent cx="1092200" cy="352425"/>
              <wp:effectExtent l="0" t="0" r="0" b="9525"/>
              <wp:wrapNone/>
              <wp:docPr id="848130887" name="Text Box 3" descr="NIB Internal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092200" cy="352425"/>
                      </a:xfrm>
                      <a:prstGeom prst="rect">
                        <a:avLst/>
                      </a:prstGeom>
                      <a:noFill/>
                      <a:ln>
                        <a:noFill/>
                      </a:ln>
                    </wps:spPr>
                    <wps:txbx>
                      <w:txbxContent>
                        <w:p w14:paraId="12645643" w14:textId="07DB0F53" w:rsidR="00015924" w:rsidRPr="0069542E" w:rsidRDefault="0069542E" w:rsidP="00015924">
                          <w:pPr>
                            <w:spacing w:after="0"/>
                            <w:rPr>
                              <w:rFonts w:ascii="Aptos" w:eastAsia="Aptos" w:hAnsi="Aptos" w:cs="Aptos"/>
                              <w:noProof/>
                              <w:sz w:val="20"/>
                              <w:lang w:val="en-GB"/>
                            </w:rPr>
                          </w:pPr>
                          <w:r w:rsidRPr="0069542E">
                            <w:rPr>
                              <w:rFonts w:ascii="Aptos" w:eastAsia="Aptos" w:hAnsi="Aptos" w:cs="Aptos"/>
                              <w:noProof/>
                              <w:sz w:val="20"/>
                              <w:lang w:val="en-GB"/>
                            </w:rPr>
                            <w:t>Public</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CB9B07C" id="_x0000_t202" coordsize="21600,21600" o:spt="202" path="m,l,21600r21600,l21600,xe">
              <v:stroke joinstyle="miter"/>
              <v:path gradientshapeok="t" o:connecttype="rect"/>
            </v:shapetype>
            <v:shape id="Text Box 3" o:spid="_x0000_s1027" type="#_x0000_t202" alt="NIB Internal use" style="position:absolute;margin-left:507.7pt;margin-top:4.3pt;width:86pt;height:27.75pt;z-index:25165824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" filled="f" stroked="f">
              <v:textbox style="mso-fit-shape-to-text:t" inset="0,15pt,20pt,0">
                <w:txbxContent>
                  <w:p w14:paraId="12645643" w14:textId="07DB0F53" w:rsidR="00015924" w:rsidRPr="0069542E" w:rsidRDefault="0069542E" w:rsidP="00015924">
                    <w:pPr>
                      <w:spacing w:after="0"/>
                      <w:rPr>
                        <w:rFonts w:ascii="Aptos" w:eastAsia="Aptos" w:hAnsi="Aptos" w:cs="Aptos"/>
                        <w:noProof/>
                        <w:sz w:val="20"/>
                        <w:lang w:val="en-GB"/>
                      </w:rPr>
                    </w:pPr>
                    <w:r w:rsidRPr="0069542E">
                      <w:rPr>
                        <w:rFonts w:ascii="Aptos" w:eastAsia="Aptos" w:hAnsi="Aptos" w:cs="Aptos"/>
                        <w:noProof/>
                        <w:sz w:val="20"/>
                        <w:lang w:val="en-GB"/>
                      </w:rPr>
                      <w:t>Public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0DC18" w14:textId="100FBF36" w:rsidR="000A3588" w:rsidRDefault="00015924">
    <w:pPr>
      <w:pStyle w:val="Header"/>
    </w:pPr>
    <w:r>
      <w:rPr>
        <w:noProof/>
      </w:rPr>
      <mc:AlternateContent>
        <mc:Choice Requires="wps">
          <w:drawing>
            <wp:anchor distT="0" distB="0" distL="0" distR="0" simplePos="0" relativeHeight="251658240" behindDoc="0" locked="0" layoutInCell="1" allowOverlap="1" wp14:anchorId="4727355C" wp14:editId="0CCE3316">
              <wp:simplePos x="635" y="635"/>
              <wp:positionH relativeFrom="page">
                <wp:align>right</wp:align>
              </wp:positionH>
              <wp:positionV relativeFrom="page">
                <wp:align>top</wp:align>
              </wp:positionV>
              <wp:extent cx="1092200" cy="352425"/>
              <wp:effectExtent l="0" t="0" r="0" b="9525"/>
              <wp:wrapNone/>
              <wp:docPr id="391360879" name="Text Box 1" descr="NIB Internal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092200" cy="352425"/>
                      </a:xfrm>
                      <a:prstGeom prst="rect">
                        <a:avLst/>
                      </a:prstGeom>
                      <a:noFill/>
                      <a:ln>
                        <a:noFill/>
                      </a:ln>
                    </wps:spPr>
                    <wps:txbx>
                      <w:txbxContent>
                        <w:p w14:paraId="4535951D" w14:textId="33A645BD" w:rsidR="00015924" w:rsidRPr="00015924" w:rsidRDefault="00015924" w:rsidP="00015924">
                          <w:pPr>
                            <w:spacing w:after="0"/>
                            <w:rPr>
                              <w:rFonts w:ascii="Aptos" w:eastAsia="Aptos" w:hAnsi="Aptos" w:cs="Aptos"/>
                              <w:noProof/>
                              <w:color w:val="0000FF"/>
                              <w:sz w:val="20"/>
                            </w:rPr>
                          </w:pPr>
                          <w:r w:rsidRPr="00015924">
                            <w:rPr>
                              <w:rFonts w:ascii="Aptos" w:eastAsia="Aptos" w:hAnsi="Aptos" w:cs="Aptos"/>
                              <w:noProof/>
                              <w:color w:val="0000FF"/>
                              <w:sz w:val="20"/>
                            </w:rPr>
                            <w:t>NIB Internal use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4727355C" id="_x0000_t202" coordsize="21600,21600" o:spt="202" path="m,l,21600r21600,l21600,xe">
              <v:stroke joinstyle="miter"/>
              <v:path gradientshapeok="t" o:connecttype="rect"/>
            </v:shapetype>
            <v:shape id="Text Box 1" o:spid="_x0000_s1028" type="#_x0000_t202" alt="NIB Internal use" style="position:absolute;margin-left:34.8pt;margin-top:0;width:86pt;height:27.7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" filled="f" stroked="f">
              <v:textbox style="mso-fit-shape-to-text:t" inset="0,15pt,20pt,0">
                <w:txbxContent>
                  <w:p w14:paraId="4535951D" w14:textId="33A645BD" w:rsidR="00015924" w:rsidRPr="00015924" w:rsidRDefault="00015924" w:rsidP="00015924">
                    <w:pPr>
                      <w:spacing w:after="0"/>
                      <w:rPr>
                        <w:rFonts w:ascii="Aptos" w:eastAsia="Aptos" w:hAnsi="Aptos" w:cs="Aptos"/>
                        <w:noProof/>
                        <w:color w:val="0000FF"/>
                        <w:sz w:val="20"/>
                      </w:rPr>
                    </w:pPr>
                    <w:r w:rsidRPr="00015924">
                      <w:rPr>
                        <w:rFonts w:ascii="Aptos" w:eastAsia="Aptos" w:hAnsi="Aptos" w:cs="Aptos"/>
                        <w:noProof/>
                        <w:color w:val="0000FF"/>
                        <w:sz w:val="20"/>
                      </w:rPr>
                      <w:t>NIB Internal use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ABC4B"/>
    <w:multiLevelType w:val="hybridMultilevel"/>
    <w:tmpl w:val="29482430"/>
    <w:lvl w:ilvl="0" w:tplc="AFA03074">
      <w:start w:val="1"/>
      <w:numFmt w:val="bullet"/>
      <w:lvlText w:val="·"/>
      <w:lvlJc w:val="left"/>
      <w:pPr>
        <w:ind w:left="720" w:hanging="360"/>
      </w:pPr>
      <w:rPr>
        <w:rFonts w:ascii="Symbol" w:hAnsi="Symbol" w:hint="default"/>
      </w:rPr>
    </w:lvl>
    <w:lvl w:ilvl="1" w:tplc="50BC9630">
      <w:start w:val="1"/>
      <w:numFmt w:val="bullet"/>
      <w:lvlText w:val="o"/>
      <w:lvlJc w:val="left"/>
      <w:pPr>
        <w:ind w:left="1440" w:hanging="360"/>
      </w:pPr>
      <w:rPr>
        <w:rFonts w:ascii="Courier New" w:hAnsi="Courier New" w:hint="default"/>
      </w:rPr>
    </w:lvl>
    <w:lvl w:ilvl="2" w:tplc="35E026DC">
      <w:start w:val="1"/>
      <w:numFmt w:val="bullet"/>
      <w:lvlText w:val=""/>
      <w:lvlJc w:val="left"/>
      <w:pPr>
        <w:ind w:left="2160" w:hanging="360"/>
      </w:pPr>
      <w:rPr>
        <w:rFonts w:ascii="Wingdings" w:hAnsi="Wingdings" w:hint="default"/>
      </w:rPr>
    </w:lvl>
    <w:lvl w:ilvl="3" w:tplc="4A3C4298">
      <w:start w:val="1"/>
      <w:numFmt w:val="bullet"/>
      <w:lvlText w:val=""/>
      <w:lvlJc w:val="left"/>
      <w:pPr>
        <w:ind w:left="2880" w:hanging="360"/>
      </w:pPr>
      <w:rPr>
        <w:rFonts w:ascii="Symbol" w:hAnsi="Symbol" w:hint="default"/>
      </w:rPr>
    </w:lvl>
    <w:lvl w:ilvl="4" w:tplc="3DC4E36C">
      <w:start w:val="1"/>
      <w:numFmt w:val="bullet"/>
      <w:lvlText w:val="o"/>
      <w:lvlJc w:val="left"/>
      <w:pPr>
        <w:ind w:left="3600" w:hanging="360"/>
      </w:pPr>
      <w:rPr>
        <w:rFonts w:ascii="Courier New" w:hAnsi="Courier New" w:hint="default"/>
      </w:rPr>
    </w:lvl>
    <w:lvl w:ilvl="5" w:tplc="4DBA33C0">
      <w:start w:val="1"/>
      <w:numFmt w:val="bullet"/>
      <w:lvlText w:val=""/>
      <w:lvlJc w:val="left"/>
      <w:pPr>
        <w:ind w:left="4320" w:hanging="360"/>
      </w:pPr>
      <w:rPr>
        <w:rFonts w:ascii="Wingdings" w:hAnsi="Wingdings" w:hint="default"/>
      </w:rPr>
    </w:lvl>
    <w:lvl w:ilvl="6" w:tplc="A410A632">
      <w:start w:val="1"/>
      <w:numFmt w:val="bullet"/>
      <w:lvlText w:val=""/>
      <w:lvlJc w:val="left"/>
      <w:pPr>
        <w:ind w:left="5040" w:hanging="360"/>
      </w:pPr>
      <w:rPr>
        <w:rFonts w:ascii="Symbol" w:hAnsi="Symbol" w:hint="default"/>
      </w:rPr>
    </w:lvl>
    <w:lvl w:ilvl="7" w:tplc="7E9CBC66">
      <w:start w:val="1"/>
      <w:numFmt w:val="bullet"/>
      <w:lvlText w:val="o"/>
      <w:lvlJc w:val="left"/>
      <w:pPr>
        <w:ind w:left="5760" w:hanging="360"/>
      </w:pPr>
      <w:rPr>
        <w:rFonts w:ascii="Courier New" w:hAnsi="Courier New" w:hint="default"/>
      </w:rPr>
    </w:lvl>
    <w:lvl w:ilvl="8" w:tplc="2304962E">
      <w:start w:val="1"/>
      <w:numFmt w:val="bullet"/>
      <w:lvlText w:val=""/>
      <w:lvlJc w:val="left"/>
      <w:pPr>
        <w:ind w:left="6480" w:hanging="360"/>
      </w:pPr>
      <w:rPr>
        <w:rFonts w:ascii="Wingdings" w:hAnsi="Wingdings" w:hint="default"/>
      </w:rPr>
    </w:lvl>
  </w:abstractNum>
  <w:abstractNum w:abstractNumId="1" w15:restartNumberingAfterBreak="0">
    <w:nsid w:val="0B737147"/>
    <w:multiLevelType w:val="hybridMultilevel"/>
    <w:tmpl w:val="0494FBDA"/>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0DD2CA52"/>
    <w:multiLevelType w:val="hybridMultilevel"/>
    <w:tmpl w:val="36BE62EE"/>
    <w:lvl w:ilvl="0" w:tplc="BFAEF3A8">
      <w:start w:val="1"/>
      <w:numFmt w:val="bullet"/>
      <w:lvlText w:val=""/>
      <w:lvlJc w:val="left"/>
      <w:pPr>
        <w:ind w:left="720" w:hanging="360"/>
      </w:pPr>
      <w:rPr>
        <w:rFonts w:ascii="Symbol" w:hAnsi="Symbol" w:hint="default"/>
      </w:rPr>
    </w:lvl>
    <w:lvl w:ilvl="1" w:tplc="13CCC7E2">
      <w:start w:val="1"/>
      <w:numFmt w:val="bullet"/>
      <w:lvlText w:val="o"/>
      <w:lvlJc w:val="left"/>
      <w:pPr>
        <w:ind w:left="1440" w:hanging="360"/>
      </w:pPr>
      <w:rPr>
        <w:rFonts w:ascii="Courier New" w:hAnsi="Courier New" w:hint="default"/>
      </w:rPr>
    </w:lvl>
    <w:lvl w:ilvl="2" w:tplc="A9BAB3AE">
      <w:start w:val="1"/>
      <w:numFmt w:val="bullet"/>
      <w:lvlText w:val=""/>
      <w:lvlJc w:val="left"/>
      <w:pPr>
        <w:ind w:left="2160" w:hanging="360"/>
      </w:pPr>
      <w:rPr>
        <w:rFonts w:ascii="Wingdings" w:hAnsi="Wingdings" w:hint="default"/>
      </w:rPr>
    </w:lvl>
    <w:lvl w:ilvl="3" w:tplc="AB4C16F0">
      <w:start w:val="1"/>
      <w:numFmt w:val="bullet"/>
      <w:lvlText w:val=""/>
      <w:lvlJc w:val="left"/>
      <w:pPr>
        <w:ind w:left="2880" w:hanging="360"/>
      </w:pPr>
      <w:rPr>
        <w:rFonts w:ascii="Symbol" w:hAnsi="Symbol" w:hint="default"/>
      </w:rPr>
    </w:lvl>
    <w:lvl w:ilvl="4" w:tplc="4C06E9E8">
      <w:start w:val="1"/>
      <w:numFmt w:val="bullet"/>
      <w:lvlText w:val="o"/>
      <w:lvlJc w:val="left"/>
      <w:pPr>
        <w:ind w:left="3600" w:hanging="360"/>
      </w:pPr>
      <w:rPr>
        <w:rFonts w:ascii="Courier New" w:hAnsi="Courier New" w:hint="default"/>
      </w:rPr>
    </w:lvl>
    <w:lvl w:ilvl="5" w:tplc="FB84B4AE">
      <w:start w:val="1"/>
      <w:numFmt w:val="bullet"/>
      <w:lvlText w:val=""/>
      <w:lvlJc w:val="left"/>
      <w:pPr>
        <w:ind w:left="4320" w:hanging="360"/>
      </w:pPr>
      <w:rPr>
        <w:rFonts w:ascii="Wingdings" w:hAnsi="Wingdings" w:hint="default"/>
      </w:rPr>
    </w:lvl>
    <w:lvl w:ilvl="6" w:tplc="0F0EF2F2">
      <w:start w:val="1"/>
      <w:numFmt w:val="bullet"/>
      <w:lvlText w:val=""/>
      <w:lvlJc w:val="left"/>
      <w:pPr>
        <w:ind w:left="5040" w:hanging="360"/>
      </w:pPr>
      <w:rPr>
        <w:rFonts w:ascii="Symbol" w:hAnsi="Symbol" w:hint="default"/>
      </w:rPr>
    </w:lvl>
    <w:lvl w:ilvl="7" w:tplc="DDE08822">
      <w:start w:val="1"/>
      <w:numFmt w:val="bullet"/>
      <w:lvlText w:val="o"/>
      <w:lvlJc w:val="left"/>
      <w:pPr>
        <w:ind w:left="5760" w:hanging="360"/>
      </w:pPr>
      <w:rPr>
        <w:rFonts w:ascii="Courier New" w:hAnsi="Courier New" w:hint="default"/>
      </w:rPr>
    </w:lvl>
    <w:lvl w:ilvl="8" w:tplc="E4344746">
      <w:start w:val="1"/>
      <w:numFmt w:val="bullet"/>
      <w:lvlText w:val=""/>
      <w:lvlJc w:val="left"/>
      <w:pPr>
        <w:ind w:left="6480" w:hanging="360"/>
      </w:pPr>
      <w:rPr>
        <w:rFonts w:ascii="Wingdings" w:hAnsi="Wingdings" w:hint="default"/>
      </w:rPr>
    </w:lvl>
  </w:abstractNum>
  <w:abstractNum w:abstractNumId="3" w15:restartNumberingAfterBreak="0">
    <w:nsid w:val="136003AA"/>
    <w:multiLevelType w:val="hybridMultilevel"/>
    <w:tmpl w:val="62166A5A"/>
    <w:lvl w:ilvl="0" w:tplc="0C000001">
      <w:start w:val="1"/>
      <w:numFmt w:val="bullet"/>
      <w:lvlText w:val=""/>
      <w:lvlJc w:val="left"/>
      <w:pPr>
        <w:ind w:left="1080" w:hanging="360"/>
      </w:pPr>
      <w:rPr>
        <w:rFonts w:ascii="Symbol" w:hAnsi="Symbol" w:hint="default"/>
      </w:rPr>
    </w:lvl>
    <w:lvl w:ilvl="1" w:tplc="0C000003" w:tentative="1">
      <w:start w:val="1"/>
      <w:numFmt w:val="bullet"/>
      <w:lvlText w:val="o"/>
      <w:lvlJc w:val="left"/>
      <w:pPr>
        <w:ind w:left="1800" w:hanging="360"/>
      </w:pPr>
      <w:rPr>
        <w:rFonts w:ascii="Courier New" w:hAnsi="Courier New" w:cs="Courier New" w:hint="default"/>
      </w:rPr>
    </w:lvl>
    <w:lvl w:ilvl="2" w:tplc="0C000005" w:tentative="1">
      <w:start w:val="1"/>
      <w:numFmt w:val="bullet"/>
      <w:lvlText w:val=""/>
      <w:lvlJc w:val="left"/>
      <w:pPr>
        <w:ind w:left="2520" w:hanging="360"/>
      </w:pPr>
      <w:rPr>
        <w:rFonts w:ascii="Wingdings" w:hAnsi="Wingdings" w:hint="default"/>
      </w:rPr>
    </w:lvl>
    <w:lvl w:ilvl="3" w:tplc="0C000001" w:tentative="1">
      <w:start w:val="1"/>
      <w:numFmt w:val="bullet"/>
      <w:lvlText w:val=""/>
      <w:lvlJc w:val="left"/>
      <w:pPr>
        <w:ind w:left="3240" w:hanging="360"/>
      </w:pPr>
      <w:rPr>
        <w:rFonts w:ascii="Symbol" w:hAnsi="Symbol" w:hint="default"/>
      </w:rPr>
    </w:lvl>
    <w:lvl w:ilvl="4" w:tplc="0C000003" w:tentative="1">
      <w:start w:val="1"/>
      <w:numFmt w:val="bullet"/>
      <w:lvlText w:val="o"/>
      <w:lvlJc w:val="left"/>
      <w:pPr>
        <w:ind w:left="3960" w:hanging="360"/>
      </w:pPr>
      <w:rPr>
        <w:rFonts w:ascii="Courier New" w:hAnsi="Courier New" w:cs="Courier New" w:hint="default"/>
      </w:rPr>
    </w:lvl>
    <w:lvl w:ilvl="5" w:tplc="0C000005" w:tentative="1">
      <w:start w:val="1"/>
      <w:numFmt w:val="bullet"/>
      <w:lvlText w:val=""/>
      <w:lvlJc w:val="left"/>
      <w:pPr>
        <w:ind w:left="4680" w:hanging="360"/>
      </w:pPr>
      <w:rPr>
        <w:rFonts w:ascii="Wingdings" w:hAnsi="Wingdings" w:hint="default"/>
      </w:rPr>
    </w:lvl>
    <w:lvl w:ilvl="6" w:tplc="0C000001" w:tentative="1">
      <w:start w:val="1"/>
      <w:numFmt w:val="bullet"/>
      <w:lvlText w:val=""/>
      <w:lvlJc w:val="left"/>
      <w:pPr>
        <w:ind w:left="5400" w:hanging="360"/>
      </w:pPr>
      <w:rPr>
        <w:rFonts w:ascii="Symbol" w:hAnsi="Symbol" w:hint="default"/>
      </w:rPr>
    </w:lvl>
    <w:lvl w:ilvl="7" w:tplc="0C000003" w:tentative="1">
      <w:start w:val="1"/>
      <w:numFmt w:val="bullet"/>
      <w:lvlText w:val="o"/>
      <w:lvlJc w:val="left"/>
      <w:pPr>
        <w:ind w:left="6120" w:hanging="360"/>
      </w:pPr>
      <w:rPr>
        <w:rFonts w:ascii="Courier New" w:hAnsi="Courier New" w:cs="Courier New" w:hint="default"/>
      </w:rPr>
    </w:lvl>
    <w:lvl w:ilvl="8" w:tplc="0C000005" w:tentative="1">
      <w:start w:val="1"/>
      <w:numFmt w:val="bullet"/>
      <w:lvlText w:val=""/>
      <w:lvlJc w:val="left"/>
      <w:pPr>
        <w:ind w:left="6840" w:hanging="360"/>
      </w:pPr>
      <w:rPr>
        <w:rFonts w:ascii="Wingdings" w:hAnsi="Wingdings" w:hint="default"/>
      </w:rPr>
    </w:lvl>
  </w:abstractNum>
  <w:abstractNum w:abstractNumId="4" w15:restartNumberingAfterBreak="0">
    <w:nsid w:val="1F2C6571"/>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0771339"/>
    <w:multiLevelType w:val="hybridMultilevel"/>
    <w:tmpl w:val="FFFFFFFF"/>
    <w:lvl w:ilvl="0" w:tplc="1A128352">
      <w:numFmt w:val="none"/>
      <w:lvlText w:val=""/>
      <w:lvlJc w:val="left"/>
      <w:pPr>
        <w:tabs>
          <w:tab w:val="num" w:pos="360"/>
        </w:tabs>
      </w:pPr>
    </w:lvl>
    <w:lvl w:ilvl="1" w:tplc="5EA0A24A">
      <w:start w:val="1"/>
      <w:numFmt w:val="lowerLetter"/>
      <w:lvlText w:val="%2."/>
      <w:lvlJc w:val="left"/>
      <w:pPr>
        <w:ind w:left="1440" w:hanging="360"/>
      </w:pPr>
    </w:lvl>
    <w:lvl w:ilvl="2" w:tplc="5BBE153E">
      <w:start w:val="1"/>
      <w:numFmt w:val="lowerRoman"/>
      <w:lvlText w:val="%3."/>
      <w:lvlJc w:val="right"/>
      <w:pPr>
        <w:ind w:left="2160" w:hanging="180"/>
      </w:pPr>
    </w:lvl>
    <w:lvl w:ilvl="3" w:tplc="521681B4">
      <w:start w:val="1"/>
      <w:numFmt w:val="decimal"/>
      <w:lvlText w:val="%4."/>
      <w:lvlJc w:val="left"/>
      <w:pPr>
        <w:ind w:left="2880" w:hanging="360"/>
      </w:pPr>
    </w:lvl>
    <w:lvl w:ilvl="4" w:tplc="7A6AAC98">
      <w:start w:val="1"/>
      <w:numFmt w:val="lowerLetter"/>
      <w:lvlText w:val="%5."/>
      <w:lvlJc w:val="left"/>
      <w:pPr>
        <w:ind w:left="3600" w:hanging="360"/>
      </w:pPr>
    </w:lvl>
    <w:lvl w:ilvl="5" w:tplc="EC5649E0">
      <w:start w:val="1"/>
      <w:numFmt w:val="lowerRoman"/>
      <w:lvlText w:val="%6."/>
      <w:lvlJc w:val="right"/>
      <w:pPr>
        <w:ind w:left="4320" w:hanging="180"/>
      </w:pPr>
    </w:lvl>
    <w:lvl w:ilvl="6" w:tplc="8708DB8C">
      <w:start w:val="1"/>
      <w:numFmt w:val="decimal"/>
      <w:lvlText w:val="%7."/>
      <w:lvlJc w:val="left"/>
      <w:pPr>
        <w:ind w:left="5040" w:hanging="360"/>
      </w:pPr>
    </w:lvl>
    <w:lvl w:ilvl="7" w:tplc="2F1A5E3E">
      <w:start w:val="1"/>
      <w:numFmt w:val="lowerLetter"/>
      <w:lvlText w:val="%8."/>
      <w:lvlJc w:val="left"/>
      <w:pPr>
        <w:ind w:left="5760" w:hanging="360"/>
      </w:pPr>
    </w:lvl>
    <w:lvl w:ilvl="8" w:tplc="E284A338">
      <w:start w:val="1"/>
      <w:numFmt w:val="lowerRoman"/>
      <w:lvlText w:val="%9."/>
      <w:lvlJc w:val="right"/>
      <w:pPr>
        <w:ind w:left="6480" w:hanging="180"/>
      </w:pPr>
    </w:lvl>
  </w:abstractNum>
  <w:abstractNum w:abstractNumId="6" w15:restartNumberingAfterBreak="0">
    <w:nsid w:val="21D9E865"/>
    <w:multiLevelType w:val="hybridMultilevel"/>
    <w:tmpl w:val="FFFFFFFF"/>
    <w:lvl w:ilvl="0" w:tplc="265C0826">
      <w:start w:val="1"/>
      <w:numFmt w:val="decimal"/>
      <w:lvlText w:val="%1."/>
      <w:lvlJc w:val="left"/>
      <w:pPr>
        <w:ind w:left="720" w:hanging="360"/>
      </w:pPr>
    </w:lvl>
    <w:lvl w:ilvl="1" w:tplc="F9526326">
      <w:start w:val="1"/>
      <w:numFmt w:val="lowerLetter"/>
      <w:lvlText w:val="%2."/>
      <w:lvlJc w:val="left"/>
      <w:pPr>
        <w:ind w:left="1440" w:hanging="360"/>
      </w:pPr>
    </w:lvl>
    <w:lvl w:ilvl="2" w:tplc="48E01FF8">
      <w:start w:val="1"/>
      <w:numFmt w:val="lowerRoman"/>
      <w:lvlText w:val="%3."/>
      <w:lvlJc w:val="right"/>
      <w:pPr>
        <w:ind w:left="2160" w:hanging="180"/>
      </w:pPr>
    </w:lvl>
    <w:lvl w:ilvl="3" w:tplc="D2DE311C">
      <w:start w:val="1"/>
      <w:numFmt w:val="decimal"/>
      <w:lvlText w:val="%4."/>
      <w:lvlJc w:val="left"/>
      <w:pPr>
        <w:ind w:left="2880" w:hanging="360"/>
      </w:pPr>
    </w:lvl>
    <w:lvl w:ilvl="4" w:tplc="5418B1E6">
      <w:start w:val="1"/>
      <w:numFmt w:val="lowerLetter"/>
      <w:lvlText w:val="%5."/>
      <w:lvlJc w:val="left"/>
      <w:pPr>
        <w:ind w:left="3600" w:hanging="360"/>
      </w:pPr>
    </w:lvl>
    <w:lvl w:ilvl="5" w:tplc="67C8B9FA">
      <w:start w:val="1"/>
      <w:numFmt w:val="lowerRoman"/>
      <w:lvlText w:val="%6."/>
      <w:lvlJc w:val="right"/>
      <w:pPr>
        <w:ind w:left="4320" w:hanging="180"/>
      </w:pPr>
    </w:lvl>
    <w:lvl w:ilvl="6" w:tplc="29B09752">
      <w:start w:val="1"/>
      <w:numFmt w:val="decimal"/>
      <w:lvlText w:val="%7."/>
      <w:lvlJc w:val="left"/>
      <w:pPr>
        <w:ind w:left="5040" w:hanging="360"/>
      </w:pPr>
    </w:lvl>
    <w:lvl w:ilvl="7" w:tplc="CCB49DEC">
      <w:start w:val="1"/>
      <w:numFmt w:val="lowerLetter"/>
      <w:lvlText w:val="%8."/>
      <w:lvlJc w:val="left"/>
      <w:pPr>
        <w:ind w:left="5760" w:hanging="360"/>
      </w:pPr>
    </w:lvl>
    <w:lvl w:ilvl="8" w:tplc="D3340AD2">
      <w:start w:val="1"/>
      <w:numFmt w:val="lowerRoman"/>
      <w:lvlText w:val="%9."/>
      <w:lvlJc w:val="right"/>
      <w:pPr>
        <w:ind w:left="6480" w:hanging="180"/>
      </w:pPr>
    </w:lvl>
  </w:abstractNum>
  <w:abstractNum w:abstractNumId="7" w15:restartNumberingAfterBreak="0">
    <w:nsid w:val="2A15B837"/>
    <w:multiLevelType w:val="hybridMultilevel"/>
    <w:tmpl w:val="28DC024C"/>
    <w:lvl w:ilvl="0" w:tplc="7F30F370">
      <w:start w:val="1"/>
      <w:numFmt w:val="bullet"/>
      <w:lvlText w:val="·"/>
      <w:lvlJc w:val="left"/>
      <w:pPr>
        <w:ind w:left="720" w:hanging="360"/>
      </w:pPr>
      <w:rPr>
        <w:rFonts w:ascii="Symbol" w:hAnsi="Symbol" w:hint="default"/>
      </w:rPr>
    </w:lvl>
    <w:lvl w:ilvl="1" w:tplc="D2E05808">
      <w:start w:val="1"/>
      <w:numFmt w:val="bullet"/>
      <w:lvlText w:val="o"/>
      <w:lvlJc w:val="left"/>
      <w:pPr>
        <w:ind w:left="1440" w:hanging="360"/>
      </w:pPr>
      <w:rPr>
        <w:rFonts w:ascii="Courier New" w:hAnsi="Courier New" w:hint="default"/>
      </w:rPr>
    </w:lvl>
    <w:lvl w:ilvl="2" w:tplc="92F6927C">
      <w:start w:val="1"/>
      <w:numFmt w:val="bullet"/>
      <w:lvlText w:val=""/>
      <w:lvlJc w:val="left"/>
      <w:pPr>
        <w:ind w:left="2160" w:hanging="360"/>
      </w:pPr>
      <w:rPr>
        <w:rFonts w:ascii="Wingdings" w:hAnsi="Wingdings" w:hint="default"/>
      </w:rPr>
    </w:lvl>
    <w:lvl w:ilvl="3" w:tplc="28E09DD6">
      <w:start w:val="1"/>
      <w:numFmt w:val="bullet"/>
      <w:lvlText w:val=""/>
      <w:lvlJc w:val="left"/>
      <w:pPr>
        <w:ind w:left="2880" w:hanging="360"/>
      </w:pPr>
      <w:rPr>
        <w:rFonts w:ascii="Symbol" w:hAnsi="Symbol" w:hint="default"/>
      </w:rPr>
    </w:lvl>
    <w:lvl w:ilvl="4" w:tplc="AF7464E4">
      <w:start w:val="1"/>
      <w:numFmt w:val="bullet"/>
      <w:lvlText w:val="o"/>
      <w:lvlJc w:val="left"/>
      <w:pPr>
        <w:ind w:left="3600" w:hanging="360"/>
      </w:pPr>
      <w:rPr>
        <w:rFonts w:ascii="Courier New" w:hAnsi="Courier New" w:hint="default"/>
      </w:rPr>
    </w:lvl>
    <w:lvl w:ilvl="5" w:tplc="0C36BF30">
      <w:start w:val="1"/>
      <w:numFmt w:val="bullet"/>
      <w:lvlText w:val=""/>
      <w:lvlJc w:val="left"/>
      <w:pPr>
        <w:ind w:left="4320" w:hanging="360"/>
      </w:pPr>
      <w:rPr>
        <w:rFonts w:ascii="Wingdings" w:hAnsi="Wingdings" w:hint="default"/>
      </w:rPr>
    </w:lvl>
    <w:lvl w:ilvl="6" w:tplc="4BD0FA62">
      <w:start w:val="1"/>
      <w:numFmt w:val="bullet"/>
      <w:lvlText w:val=""/>
      <w:lvlJc w:val="left"/>
      <w:pPr>
        <w:ind w:left="5040" w:hanging="360"/>
      </w:pPr>
      <w:rPr>
        <w:rFonts w:ascii="Symbol" w:hAnsi="Symbol" w:hint="default"/>
      </w:rPr>
    </w:lvl>
    <w:lvl w:ilvl="7" w:tplc="38348A3C">
      <w:start w:val="1"/>
      <w:numFmt w:val="bullet"/>
      <w:lvlText w:val="o"/>
      <w:lvlJc w:val="left"/>
      <w:pPr>
        <w:ind w:left="5760" w:hanging="360"/>
      </w:pPr>
      <w:rPr>
        <w:rFonts w:ascii="Courier New" w:hAnsi="Courier New" w:hint="default"/>
      </w:rPr>
    </w:lvl>
    <w:lvl w:ilvl="8" w:tplc="B2A63974">
      <w:start w:val="1"/>
      <w:numFmt w:val="bullet"/>
      <w:lvlText w:val=""/>
      <w:lvlJc w:val="left"/>
      <w:pPr>
        <w:ind w:left="6480" w:hanging="360"/>
      </w:pPr>
      <w:rPr>
        <w:rFonts w:ascii="Wingdings" w:hAnsi="Wingdings" w:hint="default"/>
      </w:rPr>
    </w:lvl>
  </w:abstractNum>
  <w:abstractNum w:abstractNumId="8" w15:restartNumberingAfterBreak="0">
    <w:nsid w:val="30B67AFA"/>
    <w:multiLevelType w:val="hybridMultilevel"/>
    <w:tmpl w:val="8D906AC8"/>
    <w:lvl w:ilvl="0" w:tplc="DBB2DB76">
      <w:start w:val="1"/>
      <w:numFmt w:val="bullet"/>
      <w:lvlText w:val="·"/>
      <w:lvlJc w:val="left"/>
      <w:pPr>
        <w:ind w:left="720" w:hanging="360"/>
      </w:pPr>
      <w:rPr>
        <w:rFonts w:ascii="Symbol" w:hAnsi="Symbol" w:hint="default"/>
      </w:rPr>
    </w:lvl>
    <w:lvl w:ilvl="1" w:tplc="F3AE2024">
      <w:start w:val="1"/>
      <w:numFmt w:val="bullet"/>
      <w:lvlText w:val="o"/>
      <w:lvlJc w:val="left"/>
      <w:pPr>
        <w:ind w:left="1440" w:hanging="360"/>
      </w:pPr>
      <w:rPr>
        <w:rFonts w:ascii="Symbol" w:hAnsi="Symbol" w:hint="default"/>
      </w:rPr>
    </w:lvl>
    <w:lvl w:ilvl="2" w:tplc="64020676">
      <w:start w:val="1"/>
      <w:numFmt w:val="bullet"/>
      <w:lvlText w:val=""/>
      <w:lvlJc w:val="left"/>
      <w:pPr>
        <w:ind w:left="2160" w:hanging="360"/>
      </w:pPr>
      <w:rPr>
        <w:rFonts w:ascii="Wingdings" w:hAnsi="Wingdings" w:hint="default"/>
      </w:rPr>
    </w:lvl>
    <w:lvl w:ilvl="3" w:tplc="388A88E2">
      <w:start w:val="1"/>
      <w:numFmt w:val="bullet"/>
      <w:lvlText w:val=""/>
      <w:lvlJc w:val="left"/>
      <w:pPr>
        <w:ind w:left="2880" w:hanging="360"/>
      </w:pPr>
      <w:rPr>
        <w:rFonts w:ascii="Symbol" w:hAnsi="Symbol" w:hint="default"/>
      </w:rPr>
    </w:lvl>
    <w:lvl w:ilvl="4" w:tplc="E202ED2E">
      <w:start w:val="1"/>
      <w:numFmt w:val="bullet"/>
      <w:lvlText w:val="o"/>
      <w:lvlJc w:val="left"/>
      <w:pPr>
        <w:ind w:left="3600" w:hanging="360"/>
      </w:pPr>
      <w:rPr>
        <w:rFonts w:ascii="Courier New" w:hAnsi="Courier New" w:hint="default"/>
      </w:rPr>
    </w:lvl>
    <w:lvl w:ilvl="5" w:tplc="A5C05B2E">
      <w:start w:val="1"/>
      <w:numFmt w:val="bullet"/>
      <w:lvlText w:val=""/>
      <w:lvlJc w:val="left"/>
      <w:pPr>
        <w:ind w:left="4320" w:hanging="360"/>
      </w:pPr>
      <w:rPr>
        <w:rFonts w:ascii="Wingdings" w:hAnsi="Wingdings" w:hint="default"/>
      </w:rPr>
    </w:lvl>
    <w:lvl w:ilvl="6" w:tplc="73E21032">
      <w:start w:val="1"/>
      <w:numFmt w:val="bullet"/>
      <w:lvlText w:val=""/>
      <w:lvlJc w:val="left"/>
      <w:pPr>
        <w:ind w:left="5040" w:hanging="360"/>
      </w:pPr>
      <w:rPr>
        <w:rFonts w:ascii="Symbol" w:hAnsi="Symbol" w:hint="default"/>
      </w:rPr>
    </w:lvl>
    <w:lvl w:ilvl="7" w:tplc="8E8E5CF6">
      <w:start w:val="1"/>
      <w:numFmt w:val="bullet"/>
      <w:lvlText w:val="o"/>
      <w:lvlJc w:val="left"/>
      <w:pPr>
        <w:ind w:left="5760" w:hanging="360"/>
      </w:pPr>
      <w:rPr>
        <w:rFonts w:ascii="Courier New" w:hAnsi="Courier New" w:hint="default"/>
      </w:rPr>
    </w:lvl>
    <w:lvl w:ilvl="8" w:tplc="A244B192">
      <w:start w:val="1"/>
      <w:numFmt w:val="bullet"/>
      <w:lvlText w:val=""/>
      <w:lvlJc w:val="left"/>
      <w:pPr>
        <w:ind w:left="6480" w:hanging="360"/>
      </w:pPr>
      <w:rPr>
        <w:rFonts w:ascii="Wingdings" w:hAnsi="Wingdings" w:hint="default"/>
      </w:rPr>
    </w:lvl>
  </w:abstractNum>
  <w:abstractNum w:abstractNumId="9" w15:restartNumberingAfterBreak="0">
    <w:nsid w:val="34299AD3"/>
    <w:multiLevelType w:val="hybridMultilevel"/>
    <w:tmpl w:val="6018D80A"/>
    <w:lvl w:ilvl="0" w:tplc="764A819E">
      <w:start w:val="1"/>
      <w:numFmt w:val="bullet"/>
      <w:lvlText w:val=""/>
      <w:lvlJc w:val="left"/>
      <w:pPr>
        <w:ind w:left="720" w:hanging="360"/>
      </w:pPr>
      <w:rPr>
        <w:rFonts w:ascii="Symbol" w:hAnsi="Symbol" w:hint="default"/>
      </w:rPr>
    </w:lvl>
    <w:lvl w:ilvl="1" w:tplc="315AA714">
      <w:start w:val="1"/>
      <w:numFmt w:val="bullet"/>
      <w:lvlText w:val="o"/>
      <w:lvlJc w:val="left"/>
      <w:pPr>
        <w:ind w:left="1440" w:hanging="360"/>
      </w:pPr>
      <w:rPr>
        <w:rFonts w:ascii="Courier New" w:hAnsi="Courier New" w:hint="default"/>
      </w:rPr>
    </w:lvl>
    <w:lvl w:ilvl="2" w:tplc="4812484C">
      <w:start w:val="1"/>
      <w:numFmt w:val="bullet"/>
      <w:lvlText w:val=""/>
      <w:lvlJc w:val="left"/>
      <w:pPr>
        <w:ind w:left="2160" w:hanging="360"/>
      </w:pPr>
      <w:rPr>
        <w:rFonts w:ascii="Wingdings" w:hAnsi="Wingdings" w:hint="default"/>
      </w:rPr>
    </w:lvl>
    <w:lvl w:ilvl="3" w:tplc="04C2EBAC">
      <w:start w:val="1"/>
      <w:numFmt w:val="bullet"/>
      <w:lvlText w:val=""/>
      <w:lvlJc w:val="left"/>
      <w:pPr>
        <w:ind w:left="2880" w:hanging="360"/>
      </w:pPr>
      <w:rPr>
        <w:rFonts w:ascii="Symbol" w:hAnsi="Symbol" w:hint="default"/>
      </w:rPr>
    </w:lvl>
    <w:lvl w:ilvl="4" w:tplc="B69C2908">
      <w:start w:val="1"/>
      <w:numFmt w:val="bullet"/>
      <w:lvlText w:val="o"/>
      <w:lvlJc w:val="left"/>
      <w:pPr>
        <w:ind w:left="3600" w:hanging="360"/>
      </w:pPr>
      <w:rPr>
        <w:rFonts w:ascii="Courier New" w:hAnsi="Courier New" w:hint="default"/>
      </w:rPr>
    </w:lvl>
    <w:lvl w:ilvl="5" w:tplc="6C069D6C">
      <w:start w:val="1"/>
      <w:numFmt w:val="bullet"/>
      <w:lvlText w:val=""/>
      <w:lvlJc w:val="left"/>
      <w:pPr>
        <w:ind w:left="4320" w:hanging="360"/>
      </w:pPr>
      <w:rPr>
        <w:rFonts w:ascii="Wingdings" w:hAnsi="Wingdings" w:hint="default"/>
      </w:rPr>
    </w:lvl>
    <w:lvl w:ilvl="6" w:tplc="B406DF24">
      <w:start w:val="1"/>
      <w:numFmt w:val="bullet"/>
      <w:lvlText w:val=""/>
      <w:lvlJc w:val="left"/>
      <w:pPr>
        <w:ind w:left="5040" w:hanging="360"/>
      </w:pPr>
      <w:rPr>
        <w:rFonts w:ascii="Symbol" w:hAnsi="Symbol" w:hint="default"/>
      </w:rPr>
    </w:lvl>
    <w:lvl w:ilvl="7" w:tplc="0F62A7CE">
      <w:start w:val="1"/>
      <w:numFmt w:val="bullet"/>
      <w:lvlText w:val="o"/>
      <w:lvlJc w:val="left"/>
      <w:pPr>
        <w:ind w:left="5760" w:hanging="360"/>
      </w:pPr>
      <w:rPr>
        <w:rFonts w:ascii="Courier New" w:hAnsi="Courier New" w:hint="default"/>
      </w:rPr>
    </w:lvl>
    <w:lvl w:ilvl="8" w:tplc="FC4C7672">
      <w:start w:val="1"/>
      <w:numFmt w:val="bullet"/>
      <w:lvlText w:val=""/>
      <w:lvlJc w:val="left"/>
      <w:pPr>
        <w:ind w:left="6480" w:hanging="360"/>
      </w:pPr>
      <w:rPr>
        <w:rFonts w:ascii="Wingdings" w:hAnsi="Wingdings" w:hint="default"/>
      </w:rPr>
    </w:lvl>
  </w:abstractNum>
  <w:abstractNum w:abstractNumId="10" w15:restartNumberingAfterBreak="0">
    <w:nsid w:val="376A0AEC"/>
    <w:multiLevelType w:val="multilevel"/>
    <w:tmpl w:val="D10C3B7C"/>
    <w:lvl w:ilvl="0">
      <w:start w:val="1"/>
      <w:numFmt w:val="bullet"/>
      <w:lvlText w:val="·"/>
      <w:lvlJc w:val="left"/>
      <w:pPr>
        <w:ind w:left="720" w:hanging="360"/>
      </w:pPr>
      <w:rPr>
        <w:rFonts w:ascii="Symbol" w:hAnsi="Symbol" w:hint="default"/>
      </w:rPr>
    </w:lvl>
    <w:lvl w:ilvl="1">
      <w:start w:val="1"/>
      <w:numFmt w:val="decimal"/>
      <w:lvlText w:val="%2."/>
      <w:lvlJc w:val="left"/>
      <w:pPr>
        <w:ind w:left="720" w:hanging="360"/>
      </w:pPr>
      <w:rPr>
        <w:b/>
        <w:bCs/>
      </w:r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11" w15:restartNumberingAfterBreak="0">
    <w:nsid w:val="37D11164"/>
    <w:multiLevelType w:val="multilevel"/>
    <w:tmpl w:val="040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C10825B"/>
    <w:multiLevelType w:val="hybridMultilevel"/>
    <w:tmpl w:val="725497AE"/>
    <w:lvl w:ilvl="0" w:tplc="60FC11D2">
      <w:start w:val="1"/>
      <w:numFmt w:val="bullet"/>
      <w:lvlText w:val=""/>
      <w:lvlJc w:val="left"/>
      <w:pPr>
        <w:ind w:left="720" w:hanging="360"/>
      </w:pPr>
      <w:rPr>
        <w:rFonts w:ascii="Symbol" w:hAnsi="Symbol" w:hint="default"/>
      </w:rPr>
    </w:lvl>
    <w:lvl w:ilvl="1" w:tplc="E67A7C34">
      <w:start w:val="1"/>
      <w:numFmt w:val="bullet"/>
      <w:lvlText w:val="o"/>
      <w:lvlJc w:val="left"/>
      <w:pPr>
        <w:ind w:left="1440" w:hanging="360"/>
      </w:pPr>
      <w:rPr>
        <w:rFonts w:ascii="Courier New" w:hAnsi="Courier New" w:hint="default"/>
      </w:rPr>
    </w:lvl>
    <w:lvl w:ilvl="2" w:tplc="361AFE62">
      <w:start w:val="1"/>
      <w:numFmt w:val="bullet"/>
      <w:lvlText w:val=""/>
      <w:lvlJc w:val="left"/>
      <w:pPr>
        <w:ind w:left="2160" w:hanging="360"/>
      </w:pPr>
      <w:rPr>
        <w:rFonts w:ascii="Wingdings" w:hAnsi="Wingdings" w:hint="default"/>
      </w:rPr>
    </w:lvl>
    <w:lvl w:ilvl="3" w:tplc="8228ABDE">
      <w:start w:val="1"/>
      <w:numFmt w:val="bullet"/>
      <w:lvlText w:val=""/>
      <w:lvlJc w:val="left"/>
      <w:pPr>
        <w:ind w:left="2880" w:hanging="360"/>
      </w:pPr>
      <w:rPr>
        <w:rFonts w:ascii="Symbol" w:hAnsi="Symbol" w:hint="default"/>
      </w:rPr>
    </w:lvl>
    <w:lvl w:ilvl="4" w:tplc="02F6EBC0">
      <w:start w:val="1"/>
      <w:numFmt w:val="bullet"/>
      <w:lvlText w:val="o"/>
      <w:lvlJc w:val="left"/>
      <w:pPr>
        <w:ind w:left="3600" w:hanging="360"/>
      </w:pPr>
      <w:rPr>
        <w:rFonts w:ascii="Courier New" w:hAnsi="Courier New" w:hint="default"/>
      </w:rPr>
    </w:lvl>
    <w:lvl w:ilvl="5" w:tplc="AD8673F6">
      <w:start w:val="1"/>
      <w:numFmt w:val="bullet"/>
      <w:lvlText w:val=""/>
      <w:lvlJc w:val="left"/>
      <w:pPr>
        <w:ind w:left="4320" w:hanging="360"/>
      </w:pPr>
      <w:rPr>
        <w:rFonts w:ascii="Wingdings" w:hAnsi="Wingdings" w:hint="default"/>
      </w:rPr>
    </w:lvl>
    <w:lvl w:ilvl="6" w:tplc="3A1EDFA4">
      <w:start w:val="1"/>
      <w:numFmt w:val="bullet"/>
      <w:lvlText w:val=""/>
      <w:lvlJc w:val="left"/>
      <w:pPr>
        <w:ind w:left="5040" w:hanging="360"/>
      </w:pPr>
      <w:rPr>
        <w:rFonts w:ascii="Symbol" w:hAnsi="Symbol" w:hint="default"/>
      </w:rPr>
    </w:lvl>
    <w:lvl w:ilvl="7" w:tplc="1EFC03DE">
      <w:start w:val="1"/>
      <w:numFmt w:val="bullet"/>
      <w:lvlText w:val="o"/>
      <w:lvlJc w:val="left"/>
      <w:pPr>
        <w:ind w:left="5760" w:hanging="360"/>
      </w:pPr>
      <w:rPr>
        <w:rFonts w:ascii="Courier New" w:hAnsi="Courier New" w:hint="default"/>
      </w:rPr>
    </w:lvl>
    <w:lvl w:ilvl="8" w:tplc="BCF0C066">
      <w:start w:val="1"/>
      <w:numFmt w:val="bullet"/>
      <w:lvlText w:val=""/>
      <w:lvlJc w:val="left"/>
      <w:pPr>
        <w:ind w:left="6480" w:hanging="360"/>
      </w:pPr>
      <w:rPr>
        <w:rFonts w:ascii="Wingdings" w:hAnsi="Wingdings" w:hint="default"/>
      </w:rPr>
    </w:lvl>
  </w:abstractNum>
  <w:abstractNum w:abstractNumId="13" w15:restartNumberingAfterBreak="0">
    <w:nsid w:val="44CB87C6"/>
    <w:multiLevelType w:val="hybridMultilevel"/>
    <w:tmpl w:val="45928004"/>
    <w:lvl w:ilvl="0" w:tplc="7BA62EEE">
      <w:start w:val="1"/>
      <w:numFmt w:val="decimal"/>
      <w:lvlText w:val="%1."/>
      <w:lvlJc w:val="left"/>
      <w:pPr>
        <w:ind w:left="720" w:hanging="360"/>
      </w:pPr>
    </w:lvl>
    <w:lvl w:ilvl="1" w:tplc="EAAC5ACC">
      <w:start w:val="1"/>
      <w:numFmt w:val="lowerLetter"/>
      <w:lvlText w:val="%2."/>
      <w:lvlJc w:val="left"/>
      <w:pPr>
        <w:ind w:left="1440" w:hanging="360"/>
      </w:pPr>
    </w:lvl>
    <w:lvl w:ilvl="2" w:tplc="A8148310">
      <w:start w:val="1"/>
      <w:numFmt w:val="lowerRoman"/>
      <w:lvlText w:val="%3."/>
      <w:lvlJc w:val="right"/>
      <w:pPr>
        <w:ind w:left="2160" w:hanging="180"/>
      </w:pPr>
    </w:lvl>
    <w:lvl w:ilvl="3" w:tplc="A42EEEEA">
      <w:start w:val="1"/>
      <w:numFmt w:val="decimal"/>
      <w:lvlText w:val="%4."/>
      <w:lvlJc w:val="left"/>
      <w:pPr>
        <w:ind w:left="2880" w:hanging="360"/>
      </w:pPr>
    </w:lvl>
    <w:lvl w:ilvl="4" w:tplc="187494A0">
      <w:start w:val="1"/>
      <w:numFmt w:val="lowerLetter"/>
      <w:lvlText w:val="%5."/>
      <w:lvlJc w:val="left"/>
      <w:pPr>
        <w:ind w:left="3600" w:hanging="360"/>
      </w:pPr>
    </w:lvl>
    <w:lvl w:ilvl="5" w:tplc="3FFC2B06">
      <w:start w:val="1"/>
      <w:numFmt w:val="lowerRoman"/>
      <w:lvlText w:val="%6."/>
      <w:lvlJc w:val="right"/>
      <w:pPr>
        <w:ind w:left="4320" w:hanging="180"/>
      </w:pPr>
    </w:lvl>
    <w:lvl w:ilvl="6" w:tplc="CE507C36">
      <w:start w:val="1"/>
      <w:numFmt w:val="decimal"/>
      <w:lvlText w:val="%7."/>
      <w:lvlJc w:val="left"/>
      <w:pPr>
        <w:ind w:left="5040" w:hanging="360"/>
      </w:pPr>
    </w:lvl>
    <w:lvl w:ilvl="7" w:tplc="89AE49E8">
      <w:start w:val="1"/>
      <w:numFmt w:val="lowerLetter"/>
      <w:lvlText w:val="%8."/>
      <w:lvlJc w:val="left"/>
      <w:pPr>
        <w:ind w:left="5760" w:hanging="360"/>
      </w:pPr>
    </w:lvl>
    <w:lvl w:ilvl="8" w:tplc="E0303DE6">
      <w:start w:val="1"/>
      <w:numFmt w:val="lowerRoman"/>
      <w:lvlText w:val="%9."/>
      <w:lvlJc w:val="right"/>
      <w:pPr>
        <w:ind w:left="6480" w:hanging="180"/>
      </w:pPr>
    </w:lvl>
  </w:abstractNum>
  <w:abstractNum w:abstractNumId="14" w15:restartNumberingAfterBreak="0">
    <w:nsid w:val="4546F1C6"/>
    <w:multiLevelType w:val="hybridMultilevel"/>
    <w:tmpl w:val="FFFFFFFF"/>
    <w:lvl w:ilvl="0" w:tplc="CA468454">
      <w:numFmt w:val="none"/>
      <w:lvlText w:val=""/>
      <w:lvlJc w:val="left"/>
      <w:pPr>
        <w:tabs>
          <w:tab w:val="num" w:pos="360"/>
        </w:tabs>
      </w:pPr>
    </w:lvl>
    <w:lvl w:ilvl="1" w:tplc="FEB05AB0">
      <w:start w:val="1"/>
      <w:numFmt w:val="lowerLetter"/>
      <w:lvlText w:val="%2."/>
      <w:lvlJc w:val="left"/>
      <w:pPr>
        <w:ind w:left="1440" w:hanging="360"/>
      </w:pPr>
    </w:lvl>
    <w:lvl w:ilvl="2" w:tplc="89B4565E">
      <w:start w:val="1"/>
      <w:numFmt w:val="lowerRoman"/>
      <w:lvlText w:val="%3."/>
      <w:lvlJc w:val="right"/>
      <w:pPr>
        <w:ind w:left="2160" w:hanging="180"/>
      </w:pPr>
    </w:lvl>
    <w:lvl w:ilvl="3" w:tplc="E408BF54">
      <w:start w:val="1"/>
      <w:numFmt w:val="decimal"/>
      <w:lvlText w:val="%4."/>
      <w:lvlJc w:val="left"/>
      <w:pPr>
        <w:ind w:left="2880" w:hanging="360"/>
      </w:pPr>
    </w:lvl>
    <w:lvl w:ilvl="4" w:tplc="7FA2CECA">
      <w:start w:val="1"/>
      <w:numFmt w:val="lowerLetter"/>
      <w:lvlText w:val="%5."/>
      <w:lvlJc w:val="left"/>
      <w:pPr>
        <w:ind w:left="3600" w:hanging="360"/>
      </w:pPr>
    </w:lvl>
    <w:lvl w:ilvl="5" w:tplc="97B0D60A">
      <w:start w:val="1"/>
      <w:numFmt w:val="lowerRoman"/>
      <w:lvlText w:val="%6."/>
      <w:lvlJc w:val="right"/>
      <w:pPr>
        <w:ind w:left="4320" w:hanging="180"/>
      </w:pPr>
    </w:lvl>
    <w:lvl w:ilvl="6" w:tplc="D738087C">
      <w:start w:val="1"/>
      <w:numFmt w:val="decimal"/>
      <w:lvlText w:val="%7."/>
      <w:lvlJc w:val="left"/>
      <w:pPr>
        <w:ind w:left="5040" w:hanging="360"/>
      </w:pPr>
    </w:lvl>
    <w:lvl w:ilvl="7" w:tplc="D36C6EC0">
      <w:start w:val="1"/>
      <w:numFmt w:val="lowerLetter"/>
      <w:lvlText w:val="%8."/>
      <w:lvlJc w:val="left"/>
      <w:pPr>
        <w:ind w:left="5760" w:hanging="360"/>
      </w:pPr>
    </w:lvl>
    <w:lvl w:ilvl="8" w:tplc="302A3C02">
      <w:start w:val="1"/>
      <w:numFmt w:val="lowerRoman"/>
      <w:lvlText w:val="%9."/>
      <w:lvlJc w:val="right"/>
      <w:pPr>
        <w:ind w:left="6480" w:hanging="180"/>
      </w:pPr>
    </w:lvl>
  </w:abstractNum>
  <w:abstractNum w:abstractNumId="15" w15:restartNumberingAfterBreak="0">
    <w:nsid w:val="4C4B0D62"/>
    <w:multiLevelType w:val="hybridMultilevel"/>
    <w:tmpl w:val="7390FA68"/>
    <w:lvl w:ilvl="0" w:tplc="04090001">
      <w:start w:val="1"/>
      <w:numFmt w:val="bullet"/>
      <w:lvlText w:val=""/>
      <w:lvlJc w:val="left"/>
      <w:pPr>
        <w:ind w:left="720" w:hanging="360"/>
      </w:pPr>
      <w:rPr>
        <w:rFonts w:ascii="Symbol" w:hAnsi="Symbol" w:hint="default"/>
      </w:rPr>
    </w:lvl>
    <w:lvl w:ilvl="1" w:tplc="1820E6BE">
      <w:numFmt w:val="bullet"/>
      <w:lvlText w:val="•"/>
      <w:lvlJc w:val="left"/>
      <w:pPr>
        <w:ind w:left="1440" w:hanging="360"/>
      </w:pPr>
      <w:rPr>
        <w:rFonts w:ascii="Aptos" w:eastAsiaTheme="minorHAnsi" w:hAnsi="Aptos"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756C7B"/>
    <w:multiLevelType w:val="hybridMultilevel"/>
    <w:tmpl w:val="EF704066"/>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7" w15:restartNumberingAfterBreak="0">
    <w:nsid w:val="5124ED71"/>
    <w:multiLevelType w:val="hybridMultilevel"/>
    <w:tmpl w:val="FFFFFFFF"/>
    <w:lvl w:ilvl="0" w:tplc="1BAAABB2">
      <w:numFmt w:val="none"/>
      <w:lvlText w:val=""/>
      <w:lvlJc w:val="left"/>
      <w:pPr>
        <w:tabs>
          <w:tab w:val="num" w:pos="360"/>
        </w:tabs>
      </w:pPr>
    </w:lvl>
    <w:lvl w:ilvl="1" w:tplc="3C6C78C6">
      <w:start w:val="1"/>
      <w:numFmt w:val="lowerLetter"/>
      <w:lvlText w:val="%2."/>
      <w:lvlJc w:val="left"/>
      <w:pPr>
        <w:ind w:left="1440" w:hanging="360"/>
      </w:pPr>
    </w:lvl>
    <w:lvl w:ilvl="2" w:tplc="9F1450D6">
      <w:start w:val="1"/>
      <w:numFmt w:val="lowerRoman"/>
      <w:lvlText w:val="%3."/>
      <w:lvlJc w:val="right"/>
      <w:pPr>
        <w:ind w:left="2160" w:hanging="180"/>
      </w:pPr>
    </w:lvl>
    <w:lvl w:ilvl="3" w:tplc="A0F0BA6A">
      <w:start w:val="1"/>
      <w:numFmt w:val="decimal"/>
      <w:lvlText w:val="%4."/>
      <w:lvlJc w:val="left"/>
      <w:pPr>
        <w:ind w:left="2880" w:hanging="360"/>
      </w:pPr>
    </w:lvl>
    <w:lvl w:ilvl="4" w:tplc="1D5CBE84">
      <w:start w:val="1"/>
      <w:numFmt w:val="lowerLetter"/>
      <w:lvlText w:val="%5."/>
      <w:lvlJc w:val="left"/>
      <w:pPr>
        <w:ind w:left="3600" w:hanging="360"/>
      </w:pPr>
    </w:lvl>
    <w:lvl w:ilvl="5" w:tplc="7584BEDE">
      <w:start w:val="1"/>
      <w:numFmt w:val="lowerRoman"/>
      <w:lvlText w:val="%6."/>
      <w:lvlJc w:val="right"/>
      <w:pPr>
        <w:ind w:left="4320" w:hanging="180"/>
      </w:pPr>
    </w:lvl>
    <w:lvl w:ilvl="6" w:tplc="BDEA4ACC">
      <w:start w:val="1"/>
      <w:numFmt w:val="decimal"/>
      <w:lvlText w:val="%7."/>
      <w:lvlJc w:val="left"/>
      <w:pPr>
        <w:ind w:left="5040" w:hanging="360"/>
      </w:pPr>
    </w:lvl>
    <w:lvl w:ilvl="7" w:tplc="E42881E4">
      <w:start w:val="1"/>
      <w:numFmt w:val="lowerLetter"/>
      <w:lvlText w:val="%8."/>
      <w:lvlJc w:val="left"/>
      <w:pPr>
        <w:ind w:left="5760" w:hanging="360"/>
      </w:pPr>
    </w:lvl>
    <w:lvl w:ilvl="8" w:tplc="851AC9A2">
      <w:start w:val="1"/>
      <w:numFmt w:val="lowerRoman"/>
      <w:lvlText w:val="%9."/>
      <w:lvlJc w:val="right"/>
      <w:pPr>
        <w:ind w:left="6480" w:hanging="180"/>
      </w:pPr>
    </w:lvl>
  </w:abstractNum>
  <w:abstractNum w:abstractNumId="18" w15:restartNumberingAfterBreak="0">
    <w:nsid w:val="59BAAD43"/>
    <w:multiLevelType w:val="hybridMultilevel"/>
    <w:tmpl w:val="FFFFFFFF"/>
    <w:lvl w:ilvl="0" w:tplc="15221C44">
      <w:numFmt w:val="none"/>
      <w:lvlText w:val=""/>
      <w:lvlJc w:val="left"/>
      <w:pPr>
        <w:tabs>
          <w:tab w:val="num" w:pos="360"/>
        </w:tabs>
      </w:pPr>
    </w:lvl>
    <w:lvl w:ilvl="1" w:tplc="C616E516">
      <w:start w:val="1"/>
      <w:numFmt w:val="lowerLetter"/>
      <w:lvlText w:val="%2."/>
      <w:lvlJc w:val="left"/>
      <w:pPr>
        <w:ind w:left="1440" w:hanging="360"/>
      </w:pPr>
    </w:lvl>
    <w:lvl w:ilvl="2" w:tplc="037AA0E8">
      <w:start w:val="1"/>
      <w:numFmt w:val="lowerRoman"/>
      <w:lvlText w:val="%3."/>
      <w:lvlJc w:val="right"/>
      <w:pPr>
        <w:ind w:left="2160" w:hanging="180"/>
      </w:pPr>
    </w:lvl>
    <w:lvl w:ilvl="3" w:tplc="5ABE96F8">
      <w:start w:val="1"/>
      <w:numFmt w:val="decimal"/>
      <w:lvlText w:val="%4."/>
      <w:lvlJc w:val="left"/>
      <w:pPr>
        <w:ind w:left="2880" w:hanging="360"/>
      </w:pPr>
    </w:lvl>
    <w:lvl w:ilvl="4" w:tplc="33E4FB22">
      <w:start w:val="1"/>
      <w:numFmt w:val="lowerLetter"/>
      <w:lvlText w:val="%5."/>
      <w:lvlJc w:val="left"/>
      <w:pPr>
        <w:ind w:left="3600" w:hanging="360"/>
      </w:pPr>
    </w:lvl>
    <w:lvl w:ilvl="5" w:tplc="C94281BC">
      <w:start w:val="1"/>
      <w:numFmt w:val="lowerRoman"/>
      <w:lvlText w:val="%6."/>
      <w:lvlJc w:val="right"/>
      <w:pPr>
        <w:ind w:left="4320" w:hanging="180"/>
      </w:pPr>
    </w:lvl>
    <w:lvl w:ilvl="6" w:tplc="90CED14E">
      <w:start w:val="1"/>
      <w:numFmt w:val="decimal"/>
      <w:lvlText w:val="%7."/>
      <w:lvlJc w:val="left"/>
      <w:pPr>
        <w:ind w:left="5040" w:hanging="360"/>
      </w:pPr>
    </w:lvl>
    <w:lvl w:ilvl="7" w:tplc="410CF512">
      <w:start w:val="1"/>
      <w:numFmt w:val="lowerLetter"/>
      <w:lvlText w:val="%8."/>
      <w:lvlJc w:val="left"/>
      <w:pPr>
        <w:ind w:left="5760" w:hanging="360"/>
      </w:pPr>
    </w:lvl>
    <w:lvl w:ilvl="8" w:tplc="77626AEE">
      <w:start w:val="1"/>
      <w:numFmt w:val="lowerRoman"/>
      <w:lvlText w:val="%9."/>
      <w:lvlJc w:val="right"/>
      <w:pPr>
        <w:ind w:left="6480" w:hanging="180"/>
      </w:pPr>
    </w:lvl>
  </w:abstractNum>
  <w:abstractNum w:abstractNumId="19" w15:restartNumberingAfterBreak="0">
    <w:nsid w:val="5C20583F"/>
    <w:multiLevelType w:val="hybridMultilevel"/>
    <w:tmpl w:val="D458ACEA"/>
    <w:lvl w:ilvl="0" w:tplc="25E62A22">
      <w:start w:val="1"/>
      <w:numFmt w:val="decimal"/>
      <w:lvlText w:val="%1."/>
      <w:lvlJc w:val="left"/>
      <w:pPr>
        <w:ind w:left="720" w:hanging="360"/>
      </w:pPr>
    </w:lvl>
    <w:lvl w:ilvl="1" w:tplc="C1D80900">
      <w:start w:val="1"/>
      <w:numFmt w:val="decimal"/>
      <w:lvlText w:val="7)"/>
      <w:lvlJc w:val="left"/>
      <w:pPr>
        <w:ind w:left="1440" w:hanging="360"/>
      </w:pPr>
    </w:lvl>
    <w:lvl w:ilvl="2" w:tplc="86E43DA6">
      <w:start w:val="1"/>
      <w:numFmt w:val="lowerRoman"/>
      <w:lvlText w:val="%3."/>
      <w:lvlJc w:val="right"/>
      <w:pPr>
        <w:ind w:left="2160" w:hanging="180"/>
      </w:pPr>
    </w:lvl>
    <w:lvl w:ilvl="3" w:tplc="8ECCAAEA">
      <w:start w:val="1"/>
      <w:numFmt w:val="decimal"/>
      <w:lvlText w:val="%4."/>
      <w:lvlJc w:val="left"/>
      <w:pPr>
        <w:ind w:left="2880" w:hanging="360"/>
      </w:pPr>
    </w:lvl>
    <w:lvl w:ilvl="4" w:tplc="5B6A8C6E">
      <w:start w:val="1"/>
      <w:numFmt w:val="lowerLetter"/>
      <w:lvlText w:val="%5."/>
      <w:lvlJc w:val="left"/>
      <w:pPr>
        <w:ind w:left="3600" w:hanging="360"/>
      </w:pPr>
    </w:lvl>
    <w:lvl w:ilvl="5" w:tplc="FFEA46B6">
      <w:start w:val="1"/>
      <w:numFmt w:val="lowerRoman"/>
      <w:lvlText w:val="%6."/>
      <w:lvlJc w:val="right"/>
      <w:pPr>
        <w:ind w:left="4320" w:hanging="180"/>
      </w:pPr>
    </w:lvl>
    <w:lvl w:ilvl="6" w:tplc="2B6C4198">
      <w:start w:val="1"/>
      <w:numFmt w:val="decimal"/>
      <w:lvlText w:val="%7."/>
      <w:lvlJc w:val="left"/>
      <w:pPr>
        <w:ind w:left="5040" w:hanging="360"/>
      </w:pPr>
    </w:lvl>
    <w:lvl w:ilvl="7" w:tplc="ED00DCEA">
      <w:start w:val="1"/>
      <w:numFmt w:val="lowerLetter"/>
      <w:lvlText w:val="%8."/>
      <w:lvlJc w:val="left"/>
      <w:pPr>
        <w:ind w:left="5760" w:hanging="360"/>
      </w:pPr>
    </w:lvl>
    <w:lvl w:ilvl="8" w:tplc="7D14EF70">
      <w:start w:val="1"/>
      <w:numFmt w:val="lowerRoman"/>
      <w:lvlText w:val="%9."/>
      <w:lvlJc w:val="right"/>
      <w:pPr>
        <w:ind w:left="6480" w:hanging="180"/>
      </w:pPr>
    </w:lvl>
  </w:abstractNum>
  <w:abstractNum w:abstractNumId="20" w15:restartNumberingAfterBreak="0">
    <w:nsid w:val="5E8E2FF9"/>
    <w:multiLevelType w:val="hybridMultilevel"/>
    <w:tmpl w:val="2C94915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1" w15:restartNumberingAfterBreak="0">
    <w:nsid w:val="695B178E"/>
    <w:multiLevelType w:val="hybridMultilevel"/>
    <w:tmpl w:val="9B4666A2"/>
    <w:lvl w:ilvl="0" w:tplc="0C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2" w15:restartNumberingAfterBreak="0">
    <w:nsid w:val="70C6A08F"/>
    <w:multiLevelType w:val="hybridMultilevel"/>
    <w:tmpl w:val="8A460EA4"/>
    <w:lvl w:ilvl="0" w:tplc="FD16FECE">
      <w:start w:val="1"/>
      <w:numFmt w:val="decimal"/>
      <w:lvlText w:val="%1."/>
      <w:lvlJc w:val="left"/>
      <w:pPr>
        <w:ind w:left="720" w:hanging="360"/>
      </w:pPr>
    </w:lvl>
    <w:lvl w:ilvl="1" w:tplc="BC42A1F2">
      <w:start w:val="1"/>
      <w:numFmt w:val="lowerLetter"/>
      <w:lvlText w:val="%2."/>
      <w:lvlJc w:val="left"/>
      <w:pPr>
        <w:ind w:left="1440" w:hanging="360"/>
      </w:pPr>
    </w:lvl>
    <w:lvl w:ilvl="2" w:tplc="33D4B740">
      <w:start w:val="1"/>
      <w:numFmt w:val="lowerRoman"/>
      <w:lvlText w:val="%3."/>
      <w:lvlJc w:val="right"/>
      <w:pPr>
        <w:ind w:left="2160" w:hanging="180"/>
      </w:pPr>
    </w:lvl>
    <w:lvl w:ilvl="3" w:tplc="C68C5ACA">
      <w:start w:val="1"/>
      <w:numFmt w:val="decimal"/>
      <w:lvlText w:val="%4."/>
      <w:lvlJc w:val="left"/>
      <w:pPr>
        <w:ind w:left="2880" w:hanging="360"/>
      </w:pPr>
    </w:lvl>
    <w:lvl w:ilvl="4" w:tplc="4B60FFBA">
      <w:start w:val="1"/>
      <w:numFmt w:val="lowerLetter"/>
      <w:lvlText w:val="%5."/>
      <w:lvlJc w:val="left"/>
      <w:pPr>
        <w:ind w:left="3600" w:hanging="360"/>
      </w:pPr>
    </w:lvl>
    <w:lvl w:ilvl="5" w:tplc="4D284CF6">
      <w:start w:val="1"/>
      <w:numFmt w:val="lowerRoman"/>
      <w:lvlText w:val="%6."/>
      <w:lvlJc w:val="right"/>
      <w:pPr>
        <w:ind w:left="4320" w:hanging="180"/>
      </w:pPr>
    </w:lvl>
    <w:lvl w:ilvl="6" w:tplc="10A4CE46">
      <w:start w:val="1"/>
      <w:numFmt w:val="decimal"/>
      <w:lvlText w:val="%7."/>
      <w:lvlJc w:val="left"/>
      <w:pPr>
        <w:ind w:left="5040" w:hanging="360"/>
      </w:pPr>
    </w:lvl>
    <w:lvl w:ilvl="7" w:tplc="0630C806">
      <w:start w:val="1"/>
      <w:numFmt w:val="lowerLetter"/>
      <w:lvlText w:val="%8."/>
      <w:lvlJc w:val="left"/>
      <w:pPr>
        <w:ind w:left="5760" w:hanging="360"/>
      </w:pPr>
    </w:lvl>
    <w:lvl w:ilvl="8" w:tplc="2D72E6E6">
      <w:start w:val="1"/>
      <w:numFmt w:val="lowerRoman"/>
      <w:lvlText w:val="%9."/>
      <w:lvlJc w:val="right"/>
      <w:pPr>
        <w:ind w:left="6480" w:hanging="180"/>
      </w:pPr>
    </w:lvl>
  </w:abstractNum>
  <w:abstractNum w:abstractNumId="23" w15:restartNumberingAfterBreak="0">
    <w:nsid w:val="71591C4F"/>
    <w:multiLevelType w:val="hybridMultilevel"/>
    <w:tmpl w:val="ADE6F0A8"/>
    <w:lvl w:ilvl="0" w:tplc="0DAE2CA2">
      <w:start w:val="1"/>
      <w:numFmt w:val="bullet"/>
      <w:lvlText w:val="·"/>
      <w:lvlJc w:val="left"/>
      <w:pPr>
        <w:ind w:left="720" w:hanging="360"/>
      </w:pPr>
      <w:rPr>
        <w:rFonts w:ascii="Symbol" w:hAnsi="Symbol" w:hint="default"/>
      </w:rPr>
    </w:lvl>
    <w:lvl w:ilvl="1" w:tplc="91CCB570">
      <w:start w:val="1"/>
      <w:numFmt w:val="bullet"/>
      <w:lvlText w:val="o"/>
      <w:lvlJc w:val="left"/>
      <w:pPr>
        <w:ind w:left="1440" w:hanging="360"/>
      </w:pPr>
      <w:rPr>
        <w:rFonts w:ascii="Courier New" w:hAnsi="Courier New" w:hint="default"/>
      </w:rPr>
    </w:lvl>
    <w:lvl w:ilvl="2" w:tplc="3CACFA24">
      <w:start w:val="1"/>
      <w:numFmt w:val="bullet"/>
      <w:lvlText w:val=""/>
      <w:lvlJc w:val="left"/>
      <w:pPr>
        <w:ind w:left="2160" w:hanging="360"/>
      </w:pPr>
      <w:rPr>
        <w:rFonts w:ascii="Wingdings" w:hAnsi="Wingdings" w:hint="default"/>
      </w:rPr>
    </w:lvl>
    <w:lvl w:ilvl="3" w:tplc="D3D06D9A">
      <w:start w:val="1"/>
      <w:numFmt w:val="bullet"/>
      <w:lvlText w:val=""/>
      <w:lvlJc w:val="left"/>
      <w:pPr>
        <w:ind w:left="2880" w:hanging="360"/>
      </w:pPr>
      <w:rPr>
        <w:rFonts w:ascii="Symbol" w:hAnsi="Symbol" w:hint="default"/>
      </w:rPr>
    </w:lvl>
    <w:lvl w:ilvl="4" w:tplc="0E92422E">
      <w:start w:val="1"/>
      <w:numFmt w:val="bullet"/>
      <w:lvlText w:val="o"/>
      <w:lvlJc w:val="left"/>
      <w:pPr>
        <w:ind w:left="3600" w:hanging="360"/>
      </w:pPr>
      <w:rPr>
        <w:rFonts w:ascii="Courier New" w:hAnsi="Courier New" w:hint="default"/>
      </w:rPr>
    </w:lvl>
    <w:lvl w:ilvl="5" w:tplc="4DF04A86">
      <w:start w:val="1"/>
      <w:numFmt w:val="bullet"/>
      <w:lvlText w:val=""/>
      <w:lvlJc w:val="left"/>
      <w:pPr>
        <w:ind w:left="4320" w:hanging="360"/>
      </w:pPr>
      <w:rPr>
        <w:rFonts w:ascii="Wingdings" w:hAnsi="Wingdings" w:hint="default"/>
      </w:rPr>
    </w:lvl>
    <w:lvl w:ilvl="6" w:tplc="88721DBA">
      <w:start w:val="1"/>
      <w:numFmt w:val="bullet"/>
      <w:lvlText w:val=""/>
      <w:lvlJc w:val="left"/>
      <w:pPr>
        <w:ind w:left="5040" w:hanging="360"/>
      </w:pPr>
      <w:rPr>
        <w:rFonts w:ascii="Symbol" w:hAnsi="Symbol" w:hint="default"/>
      </w:rPr>
    </w:lvl>
    <w:lvl w:ilvl="7" w:tplc="D7DCA2C8">
      <w:start w:val="1"/>
      <w:numFmt w:val="bullet"/>
      <w:lvlText w:val="o"/>
      <w:lvlJc w:val="left"/>
      <w:pPr>
        <w:ind w:left="5760" w:hanging="360"/>
      </w:pPr>
      <w:rPr>
        <w:rFonts w:ascii="Courier New" w:hAnsi="Courier New" w:hint="default"/>
      </w:rPr>
    </w:lvl>
    <w:lvl w:ilvl="8" w:tplc="3D265BA8">
      <w:start w:val="1"/>
      <w:numFmt w:val="bullet"/>
      <w:lvlText w:val=""/>
      <w:lvlJc w:val="left"/>
      <w:pPr>
        <w:ind w:left="6480" w:hanging="360"/>
      </w:pPr>
      <w:rPr>
        <w:rFonts w:ascii="Wingdings" w:hAnsi="Wingdings" w:hint="default"/>
      </w:rPr>
    </w:lvl>
  </w:abstractNum>
  <w:abstractNum w:abstractNumId="24" w15:restartNumberingAfterBreak="0">
    <w:nsid w:val="7D0D1D62"/>
    <w:multiLevelType w:val="hybridMultilevel"/>
    <w:tmpl w:val="4B8CB8E2"/>
    <w:lvl w:ilvl="0" w:tplc="0C00000F">
      <w:start w:val="27"/>
      <w:numFmt w:val="decimal"/>
      <w:lvlText w:val="%1."/>
      <w:lvlJc w:val="left"/>
      <w:pPr>
        <w:ind w:left="720" w:hanging="360"/>
      </w:pPr>
      <w:rPr>
        <w:rFonts w:hint="default"/>
      </w:rPr>
    </w:lvl>
    <w:lvl w:ilvl="1" w:tplc="0C000019">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16cid:durableId="904223769">
    <w:abstractNumId w:val="14"/>
  </w:num>
  <w:num w:numId="2" w16cid:durableId="65154547">
    <w:abstractNumId w:val="18"/>
  </w:num>
  <w:num w:numId="3" w16cid:durableId="2126263805">
    <w:abstractNumId w:val="6"/>
  </w:num>
  <w:num w:numId="4" w16cid:durableId="1060397711">
    <w:abstractNumId w:val="9"/>
  </w:num>
  <w:num w:numId="5" w16cid:durableId="895361772">
    <w:abstractNumId w:val="2"/>
  </w:num>
  <w:num w:numId="6" w16cid:durableId="1970428268">
    <w:abstractNumId w:val="0"/>
  </w:num>
  <w:num w:numId="7" w16cid:durableId="1077286693">
    <w:abstractNumId w:val="8"/>
  </w:num>
  <w:num w:numId="8" w16cid:durableId="576861043">
    <w:abstractNumId w:val="23"/>
  </w:num>
  <w:num w:numId="9" w16cid:durableId="1162234561">
    <w:abstractNumId w:val="22"/>
  </w:num>
  <w:num w:numId="10" w16cid:durableId="197469709">
    <w:abstractNumId w:val="13"/>
  </w:num>
  <w:num w:numId="11" w16cid:durableId="118573511">
    <w:abstractNumId w:val="7"/>
  </w:num>
  <w:num w:numId="12" w16cid:durableId="1282036548">
    <w:abstractNumId w:val="12"/>
  </w:num>
  <w:num w:numId="13" w16cid:durableId="224685954">
    <w:abstractNumId w:val="19"/>
  </w:num>
  <w:num w:numId="14" w16cid:durableId="722289876">
    <w:abstractNumId w:val="15"/>
  </w:num>
  <w:num w:numId="15" w16cid:durableId="2057583897">
    <w:abstractNumId w:val="10"/>
  </w:num>
  <w:num w:numId="16" w16cid:durableId="1028523773">
    <w:abstractNumId w:val="11"/>
  </w:num>
  <w:num w:numId="17" w16cid:durableId="408506391">
    <w:abstractNumId w:val="5"/>
  </w:num>
  <w:num w:numId="18" w16cid:durableId="1577740734">
    <w:abstractNumId w:val="4"/>
  </w:num>
  <w:num w:numId="19" w16cid:durableId="614487606">
    <w:abstractNumId w:val="3"/>
  </w:num>
  <w:num w:numId="20" w16cid:durableId="275719794">
    <w:abstractNumId w:val="1"/>
  </w:num>
  <w:num w:numId="21" w16cid:durableId="1014847422">
    <w:abstractNumId w:val="20"/>
  </w:num>
  <w:num w:numId="22" w16cid:durableId="1409764919">
    <w:abstractNumId w:val="21"/>
  </w:num>
  <w:num w:numId="23" w16cid:durableId="1813477896">
    <w:abstractNumId w:val="16"/>
  </w:num>
  <w:num w:numId="24" w16cid:durableId="7611274">
    <w:abstractNumId w:val="24"/>
  </w:num>
  <w:num w:numId="25" w16cid:durableId="189307617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52B"/>
    <w:rsid w:val="000019D5"/>
    <w:rsid w:val="000049FA"/>
    <w:rsid w:val="00013406"/>
    <w:rsid w:val="00013E0B"/>
    <w:rsid w:val="00015924"/>
    <w:rsid w:val="00017D5E"/>
    <w:rsid w:val="0002196E"/>
    <w:rsid w:val="00023C77"/>
    <w:rsid w:val="0002776D"/>
    <w:rsid w:val="000311E3"/>
    <w:rsid w:val="000318B0"/>
    <w:rsid w:val="00031EE8"/>
    <w:rsid w:val="00034526"/>
    <w:rsid w:val="0005254F"/>
    <w:rsid w:val="000546BF"/>
    <w:rsid w:val="0005776E"/>
    <w:rsid w:val="00060FFC"/>
    <w:rsid w:val="000626B4"/>
    <w:rsid w:val="00064145"/>
    <w:rsid w:val="00064B1C"/>
    <w:rsid w:val="0006539E"/>
    <w:rsid w:val="000662D0"/>
    <w:rsid w:val="00067346"/>
    <w:rsid w:val="00071BBF"/>
    <w:rsid w:val="000746DE"/>
    <w:rsid w:val="0007671C"/>
    <w:rsid w:val="0007C7C7"/>
    <w:rsid w:val="00080763"/>
    <w:rsid w:val="000809B9"/>
    <w:rsid w:val="00085F15"/>
    <w:rsid w:val="00090E48"/>
    <w:rsid w:val="00092066"/>
    <w:rsid w:val="00094FF3"/>
    <w:rsid w:val="00095FEE"/>
    <w:rsid w:val="0009619E"/>
    <w:rsid w:val="000A3588"/>
    <w:rsid w:val="000A5298"/>
    <w:rsid w:val="000A721D"/>
    <w:rsid w:val="000B1D89"/>
    <w:rsid w:val="000B343C"/>
    <w:rsid w:val="000B3B1D"/>
    <w:rsid w:val="000B477C"/>
    <w:rsid w:val="000B50F4"/>
    <w:rsid w:val="000B5B22"/>
    <w:rsid w:val="000C0A9F"/>
    <w:rsid w:val="000C1F9B"/>
    <w:rsid w:val="000C2A8E"/>
    <w:rsid w:val="000C77EB"/>
    <w:rsid w:val="000D172B"/>
    <w:rsid w:val="000D2608"/>
    <w:rsid w:val="000D4D3B"/>
    <w:rsid w:val="000E0244"/>
    <w:rsid w:val="000E16A8"/>
    <w:rsid w:val="000E1B42"/>
    <w:rsid w:val="000E2D97"/>
    <w:rsid w:val="000E321E"/>
    <w:rsid w:val="000E5975"/>
    <w:rsid w:val="000E5DF9"/>
    <w:rsid w:val="000F0824"/>
    <w:rsid w:val="000F1A5F"/>
    <w:rsid w:val="000F24D3"/>
    <w:rsid w:val="00103D5C"/>
    <w:rsid w:val="00104850"/>
    <w:rsid w:val="00107AD9"/>
    <w:rsid w:val="00110E0A"/>
    <w:rsid w:val="00113F91"/>
    <w:rsid w:val="00117E8B"/>
    <w:rsid w:val="00121B3F"/>
    <w:rsid w:val="00124A25"/>
    <w:rsid w:val="00126C0C"/>
    <w:rsid w:val="0012781E"/>
    <w:rsid w:val="00127CDA"/>
    <w:rsid w:val="00133764"/>
    <w:rsid w:val="00134132"/>
    <w:rsid w:val="00136DBF"/>
    <w:rsid w:val="00137471"/>
    <w:rsid w:val="00141111"/>
    <w:rsid w:val="00141BEC"/>
    <w:rsid w:val="00144898"/>
    <w:rsid w:val="00146922"/>
    <w:rsid w:val="001512F0"/>
    <w:rsid w:val="00151930"/>
    <w:rsid w:val="001578FE"/>
    <w:rsid w:val="0016778C"/>
    <w:rsid w:val="00172427"/>
    <w:rsid w:val="00172F51"/>
    <w:rsid w:val="00175A6B"/>
    <w:rsid w:val="00175ED6"/>
    <w:rsid w:val="00177B98"/>
    <w:rsid w:val="00177E06"/>
    <w:rsid w:val="0018061C"/>
    <w:rsid w:val="001855AF"/>
    <w:rsid w:val="00185BA4"/>
    <w:rsid w:val="001864B1"/>
    <w:rsid w:val="00187B3A"/>
    <w:rsid w:val="00190FAE"/>
    <w:rsid w:val="001925F2"/>
    <w:rsid w:val="001947BE"/>
    <w:rsid w:val="00194E58"/>
    <w:rsid w:val="00195277"/>
    <w:rsid w:val="00196DD2"/>
    <w:rsid w:val="00197140"/>
    <w:rsid w:val="00197FB5"/>
    <w:rsid w:val="001A478C"/>
    <w:rsid w:val="001B0215"/>
    <w:rsid w:val="001B07CF"/>
    <w:rsid w:val="001B1AE8"/>
    <w:rsid w:val="001B5D31"/>
    <w:rsid w:val="001B7139"/>
    <w:rsid w:val="001C2D16"/>
    <w:rsid w:val="001C419D"/>
    <w:rsid w:val="001C66A7"/>
    <w:rsid w:val="001C7443"/>
    <w:rsid w:val="001C7B2F"/>
    <w:rsid w:val="001CC491"/>
    <w:rsid w:val="001D2E7C"/>
    <w:rsid w:val="001D3830"/>
    <w:rsid w:val="001D3AC7"/>
    <w:rsid w:val="001D5075"/>
    <w:rsid w:val="001E03B8"/>
    <w:rsid w:val="001E075B"/>
    <w:rsid w:val="001E3B47"/>
    <w:rsid w:val="001E46D3"/>
    <w:rsid w:val="001F4AB6"/>
    <w:rsid w:val="00201864"/>
    <w:rsid w:val="002030EB"/>
    <w:rsid w:val="0021035C"/>
    <w:rsid w:val="00211D8E"/>
    <w:rsid w:val="0021294F"/>
    <w:rsid w:val="00216679"/>
    <w:rsid w:val="00217289"/>
    <w:rsid w:val="0021790C"/>
    <w:rsid w:val="00225FC9"/>
    <w:rsid w:val="00227CFC"/>
    <w:rsid w:val="0023157F"/>
    <w:rsid w:val="00231784"/>
    <w:rsid w:val="00231C67"/>
    <w:rsid w:val="00231E45"/>
    <w:rsid w:val="002367F4"/>
    <w:rsid w:val="00237C8B"/>
    <w:rsid w:val="0024280A"/>
    <w:rsid w:val="00243498"/>
    <w:rsid w:val="0024443F"/>
    <w:rsid w:val="00244CF7"/>
    <w:rsid w:val="00245351"/>
    <w:rsid w:val="00246CEA"/>
    <w:rsid w:val="0024773F"/>
    <w:rsid w:val="00250A9A"/>
    <w:rsid w:val="00255D2E"/>
    <w:rsid w:val="0026145D"/>
    <w:rsid w:val="00265B69"/>
    <w:rsid w:val="00266CD7"/>
    <w:rsid w:val="00267B91"/>
    <w:rsid w:val="00274C4D"/>
    <w:rsid w:val="00282279"/>
    <w:rsid w:val="00282331"/>
    <w:rsid w:val="0028672B"/>
    <w:rsid w:val="00286D66"/>
    <w:rsid w:val="00291950"/>
    <w:rsid w:val="00294D9E"/>
    <w:rsid w:val="00296E5C"/>
    <w:rsid w:val="002A7811"/>
    <w:rsid w:val="002B09CA"/>
    <w:rsid w:val="002B0F5C"/>
    <w:rsid w:val="002C1E81"/>
    <w:rsid w:val="002C331D"/>
    <w:rsid w:val="002C497A"/>
    <w:rsid w:val="002C7A09"/>
    <w:rsid w:val="002D3F0F"/>
    <w:rsid w:val="002D48D5"/>
    <w:rsid w:val="002D4C74"/>
    <w:rsid w:val="002D5CC1"/>
    <w:rsid w:val="002D668F"/>
    <w:rsid w:val="002E1197"/>
    <w:rsid w:val="002E3565"/>
    <w:rsid w:val="002E70E5"/>
    <w:rsid w:val="002F2207"/>
    <w:rsid w:val="002F3B14"/>
    <w:rsid w:val="002F6132"/>
    <w:rsid w:val="002F737C"/>
    <w:rsid w:val="00300E48"/>
    <w:rsid w:val="003011D2"/>
    <w:rsid w:val="00302F01"/>
    <w:rsid w:val="003043C2"/>
    <w:rsid w:val="00311067"/>
    <w:rsid w:val="0031428F"/>
    <w:rsid w:val="00316E1B"/>
    <w:rsid w:val="0032493A"/>
    <w:rsid w:val="00325F1D"/>
    <w:rsid w:val="00333CF1"/>
    <w:rsid w:val="003420AF"/>
    <w:rsid w:val="00345A3D"/>
    <w:rsid w:val="00345C7B"/>
    <w:rsid w:val="00346260"/>
    <w:rsid w:val="00347B1D"/>
    <w:rsid w:val="0035060D"/>
    <w:rsid w:val="003506FB"/>
    <w:rsid w:val="003508F9"/>
    <w:rsid w:val="00350CBF"/>
    <w:rsid w:val="00350F0F"/>
    <w:rsid w:val="0035326C"/>
    <w:rsid w:val="00353F71"/>
    <w:rsid w:val="003558C8"/>
    <w:rsid w:val="00355FFD"/>
    <w:rsid w:val="003560B4"/>
    <w:rsid w:val="003601A6"/>
    <w:rsid w:val="003639F4"/>
    <w:rsid w:val="003645BF"/>
    <w:rsid w:val="00373C7F"/>
    <w:rsid w:val="00373D6D"/>
    <w:rsid w:val="0038210A"/>
    <w:rsid w:val="00382FBE"/>
    <w:rsid w:val="003837E8"/>
    <w:rsid w:val="00384E2D"/>
    <w:rsid w:val="00387254"/>
    <w:rsid w:val="00392E69"/>
    <w:rsid w:val="00397D24"/>
    <w:rsid w:val="003A0700"/>
    <w:rsid w:val="003A23B2"/>
    <w:rsid w:val="003A422B"/>
    <w:rsid w:val="003A5184"/>
    <w:rsid w:val="003A6ED0"/>
    <w:rsid w:val="003A755B"/>
    <w:rsid w:val="003B2DE0"/>
    <w:rsid w:val="003B64B3"/>
    <w:rsid w:val="003C034E"/>
    <w:rsid w:val="003C1B0E"/>
    <w:rsid w:val="003C2A56"/>
    <w:rsid w:val="003C7C72"/>
    <w:rsid w:val="003D1D7D"/>
    <w:rsid w:val="003D1E64"/>
    <w:rsid w:val="003D418A"/>
    <w:rsid w:val="003D6538"/>
    <w:rsid w:val="003E17E0"/>
    <w:rsid w:val="003E4972"/>
    <w:rsid w:val="003E7CB8"/>
    <w:rsid w:val="003F30E0"/>
    <w:rsid w:val="003F724A"/>
    <w:rsid w:val="003F7871"/>
    <w:rsid w:val="00400064"/>
    <w:rsid w:val="0040259F"/>
    <w:rsid w:val="00406A44"/>
    <w:rsid w:val="004070B8"/>
    <w:rsid w:val="0041126A"/>
    <w:rsid w:val="00415296"/>
    <w:rsid w:val="0042024B"/>
    <w:rsid w:val="0042066A"/>
    <w:rsid w:val="00423561"/>
    <w:rsid w:val="00424E33"/>
    <w:rsid w:val="00430C1C"/>
    <w:rsid w:val="00431014"/>
    <w:rsid w:val="0043667A"/>
    <w:rsid w:val="0043748E"/>
    <w:rsid w:val="0044016B"/>
    <w:rsid w:val="004428CD"/>
    <w:rsid w:val="00444039"/>
    <w:rsid w:val="004460A8"/>
    <w:rsid w:val="004464F6"/>
    <w:rsid w:val="00451E16"/>
    <w:rsid w:val="00456ADF"/>
    <w:rsid w:val="00457FCA"/>
    <w:rsid w:val="00460FEB"/>
    <w:rsid w:val="00466A59"/>
    <w:rsid w:val="004713AD"/>
    <w:rsid w:val="00472A84"/>
    <w:rsid w:val="004819E9"/>
    <w:rsid w:val="004845CE"/>
    <w:rsid w:val="00484FA8"/>
    <w:rsid w:val="00486475"/>
    <w:rsid w:val="0048692C"/>
    <w:rsid w:val="004900BA"/>
    <w:rsid w:val="00490BA5"/>
    <w:rsid w:val="00491C34"/>
    <w:rsid w:val="004922AF"/>
    <w:rsid w:val="00495301"/>
    <w:rsid w:val="00495CFA"/>
    <w:rsid w:val="0049783B"/>
    <w:rsid w:val="00497BC8"/>
    <w:rsid w:val="004A2A98"/>
    <w:rsid w:val="004A2E06"/>
    <w:rsid w:val="004A4A25"/>
    <w:rsid w:val="004A4C6D"/>
    <w:rsid w:val="004A61BF"/>
    <w:rsid w:val="004A657D"/>
    <w:rsid w:val="004B004C"/>
    <w:rsid w:val="004B1E66"/>
    <w:rsid w:val="004B2723"/>
    <w:rsid w:val="004C2DAA"/>
    <w:rsid w:val="004C6DA1"/>
    <w:rsid w:val="004D03F1"/>
    <w:rsid w:val="004D09FB"/>
    <w:rsid w:val="004D472E"/>
    <w:rsid w:val="004D627B"/>
    <w:rsid w:val="004E6110"/>
    <w:rsid w:val="004F24C7"/>
    <w:rsid w:val="00504E35"/>
    <w:rsid w:val="00504E37"/>
    <w:rsid w:val="00510240"/>
    <w:rsid w:val="0051265D"/>
    <w:rsid w:val="00514014"/>
    <w:rsid w:val="00514E05"/>
    <w:rsid w:val="005217BE"/>
    <w:rsid w:val="00521992"/>
    <w:rsid w:val="005219B4"/>
    <w:rsid w:val="005251F9"/>
    <w:rsid w:val="00525F54"/>
    <w:rsid w:val="005300CA"/>
    <w:rsid w:val="0053029A"/>
    <w:rsid w:val="00531465"/>
    <w:rsid w:val="005328E4"/>
    <w:rsid w:val="00532AC7"/>
    <w:rsid w:val="00533310"/>
    <w:rsid w:val="0053405A"/>
    <w:rsid w:val="00540CAE"/>
    <w:rsid w:val="0054338F"/>
    <w:rsid w:val="00544DD4"/>
    <w:rsid w:val="00547E2B"/>
    <w:rsid w:val="005512ED"/>
    <w:rsid w:val="0055490B"/>
    <w:rsid w:val="005559BD"/>
    <w:rsid w:val="00564DB0"/>
    <w:rsid w:val="00564E2A"/>
    <w:rsid w:val="005707EB"/>
    <w:rsid w:val="005722AB"/>
    <w:rsid w:val="005737B5"/>
    <w:rsid w:val="00573D5F"/>
    <w:rsid w:val="00574273"/>
    <w:rsid w:val="00575AA7"/>
    <w:rsid w:val="00576859"/>
    <w:rsid w:val="00577AF1"/>
    <w:rsid w:val="00580C18"/>
    <w:rsid w:val="00581301"/>
    <w:rsid w:val="00582239"/>
    <w:rsid w:val="005959BB"/>
    <w:rsid w:val="005A321C"/>
    <w:rsid w:val="005A4072"/>
    <w:rsid w:val="005A47E9"/>
    <w:rsid w:val="005B2336"/>
    <w:rsid w:val="005B46B3"/>
    <w:rsid w:val="005B7236"/>
    <w:rsid w:val="005C2163"/>
    <w:rsid w:val="005C6B56"/>
    <w:rsid w:val="005D5A80"/>
    <w:rsid w:val="005D7050"/>
    <w:rsid w:val="005D708B"/>
    <w:rsid w:val="005E03B3"/>
    <w:rsid w:val="005E24E9"/>
    <w:rsid w:val="005F40B2"/>
    <w:rsid w:val="005F629F"/>
    <w:rsid w:val="005F6BBE"/>
    <w:rsid w:val="00601292"/>
    <w:rsid w:val="00602F9F"/>
    <w:rsid w:val="00612FCC"/>
    <w:rsid w:val="0061440E"/>
    <w:rsid w:val="00615BB9"/>
    <w:rsid w:val="00616F26"/>
    <w:rsid w:val="0062006D"/>
    <w:rsid w:val="0062169C"/>
    <w:rsid w:val="006247F4"/>
    <w:rsid w:val="00634363"/>
    <w:rsid w:val="006350B8"/>
    <w:rsid w:val="006359B7"/>
    <w:rsid w:val="006405BA"/>
    <w:rsid w:val="00644D52"/>
    <w:rsid w:val="0064556A"/>
    <w:rsid w:val="00645C78"/>
    <w:rsid w:val="00651288"/>
    <w:rsid w:val="006533F5"/>
    <w:rsid w:val="006545B2"/>
    <w:rsid w:val="006649D1"/>
    <w:rsid w:val="00671514"/>
    <w:rsid w:val="0067252B"/>
    <w:rsid w:val="0067290D"/>
    <w:rsid w:val="006758F7"/>
    <w:rsid w:val="00681B54"/>
    <w:rsid w:val="00685ADA"/>
    <w:rsid w:val="006922B2"/>
    <w:rsid w:val="00693152"/>
    <w:rsid w:val="0069542E"/>
    <w:rsid w:val="00696BBA"/>
    <w:rsid w:val="0069796F"/>
    <w:rsid w:val="006A1249"/>
    <w:rsid w:val="006A263E"/>
    <w:rsid w:val="006A3302"/>
    <w:rsid w:val="006A73DB"/>
    <w:rsid w:val="006A78D9"/>
    <w:rsid w:val="006B3576"/>
    <w:rsid w:val="006C1249"/>
    <w:rsid w:val="006C448F"/>
    <w:rsid w:val="006C56A9"/>
    <w:rsid w:val="006D1806"/>
    <w:rsid w:val="006D1B36"/>
    <w:rsid w:val="006D3DA9"/>
    <w:rsid w:val="006D5EAD"/>
    <w:rsid w:val="006D7A60"/>
    <w:rsid w:val="006E1459"/>
    <w:rsid w:val="006E1492"/>
    <w:rsid w:val="006E36AC"/>
    <w:rsid w:val="006F089C"/>
    <w:rsid w:val="006F13D1"/>
    <w:rsid w:val="006F1E81"/>
    <w:rsid w:val="006F2BBF"/>
    <w:rsid w:val="006F4E02"/>
    <w:rsid w:val="006F4E49"/>
    <w:rsid w:val="006F5A70"/>
    <w:rsid w:val="006F7818"/>
    <w:rsid w:val="006F7CE7"/>
    <w:rsid w:val="007024B1"/>
    <w:rsid w:val="00705902"/>
    <w:rsid w:val="00707B6D"/>
    <w:rsid w:val="00710028"/>
    <w:rsid w:val="00710D13"/>
    <w:rsid w:val="00712C14"/>
    <w:rsid w:val="00714758"/>
    <w:rsid w:val="00722B93"/>
    <w:rsid w:val="00726CD0"/>
    <w:rsid w:val="00731191"/>
    <w:rsid w:val="00731327"/>
    <w:rsid w:val="007346B1"/>
    <w:rsid w:val="0073532E"/>
    <w:rsid w:val="00737F6A"/>
    <w:rsid w:val="00740AD3"/>
    <w:rsid w:val="00741A17"/>
    <w:rsid w:val="00743ABC"/>
    <w:rsid w:val="007447D3"/>
    <w:rsid w:val="00744B8F"/>
    <w:rsid w:val="007539B6"/>
    <w:rsid w:val="00754D7D"/>
    <w:rsid w:val="00755BEE"/>
    <w:rsid w:val="00764075"/>
    <w:rsid w:val="007674F2"/>
    <w:rsid w:val="00770236"/>
    <w:rsid w:val="0077224E"/>
    <w:rsid w:val="007754B2"/>
    <w:rsid w:val="00776377"/>
    <w:rsid w:val="00777411"/>
    <w:rsid w:val="00780B08"/>
    <w:rsid w:val="00785463"/>
    <w:rsid w:val="00786130"/>
    <w:rsid w:val="00793095"/>
    <w:rsid w:val="00794C73"/>
    <w:rsid w:val="00797182"/>
    <w:rsid w:val="00797DDA"/>
    <w:rsid w:val="007A34DF"/>
    <w:rsid w:val="007A3E7C"/>
    <w:rsid w:val="007B4513"/>
    <w:rsid w:val="007C0EDA"/>
    <w:rsid w:val="007C69C5"/>
    <w:rsid w:val="007D17E7"/>
    <w:rsid w:val="007D2DE3"/>
    <w:rsid w:val="007D4EEB"/>
    <w:rsid w:val="007D6362"/>
    <w:rsid w:val="007E2292"/>
    <w:rsid w:val="007E5BBA"/>
    <w:rsid w:val="007E6CA8"/>
    <w:rsid w:val="007E798B"/>
    <w:rsid w:val="007F0A19"/>
    <w:rsid w:val="007F2D28"/>
    <w:rsid w:val="007F3402"/>
    <w:rsid w:val="007F3FD1"/>
    <w:rsid w:val="007F6CCA"/>
    <w:rsid w:val="007F7AF0"/>
    <w:rsid w:val="00801B45"/>
    <w:rsid w:val="008045A0"/>
    <w:rsid w:val="00804C0E"/>
    <w:rsid w:val="00814409"/>
    <w:rsid w:val="00815550"/>
    <w:rsid w:val="008176A8"/>
    <w:rsid w:val="00817A50"/>
    <w:rsid w:val="008210D5"/>
    <w:rsid w:val="00822DE8"/>
    <w:rsid w:val="00823877"/>
    <w:rsid w:val="00823EB2"/>
    <w:rsid w:val="0083112C"/>
    <w:rsid w:val="00831A32"/>
    <w:rsid w:val="008376CF"/>
    <w:rsid w:val="008378CA"/>
    <w:rsid w:val="00844091"/>
    <w:rsid w:val="00850ABD"/>
    <w:rsid w:val="00852B7C"/>
    <w:rsid w:val="00854BD2"/>
    <w:rsid w:val="00857502"/>
    <w:rsid w:val="00861026"/>
    <w:rsid w:val="00861629"/>
    <w:rsid w:val="00863A46"/>
    <w:rsid w:val="0086498E"/>
    <w:rsid w:val="00867F79"/>
    <w:rsid w:val="00870ADF"/>
    <w:rsid w:val="008766EC"/>
    <w:rsid w:val="008768E8"/>
    <w:rsid w:val="008776F8"/>
    <w:rsid w:val="008811C1"/>
    <w:rsid w:val="00881844"/>
    <w:rsid w:val="00885384"/>
    <w:rsid w:val="0088642D"/>
    <w:rsid w:val="00897931"/>
    <w:rsid w:val="00897CE9"/>
    <w:rsid w:val="008A05C6"/>
    <w:rsid w:val="008A164C"/>
    <w:rsid w:val="008A3EEF"/>
    <w:rsid w:val="008A54B6"/>
    <w:rsid w:val="008A5C67"/>
    <w:rsid w:val="008A61CA"/>
    <w:rsid w:val="008A7360"/>
    <w:rsid w:val="008B04F8"/>
    <w:rsid w:val="008B18BB"/>
    <w:rsid w:val="008B260A"/>
    <w:rsid w:val="008B7DD9"/>
    <w:rsid w:val="008C2312"/>
    <w:rsid w:val="008C3EF5"/>
    <w:rsid w:val="008C663D"/>
    <w:rsid w:val="008C66F7"/>
    <w:rsid w:val="008C73DF"/>
    <w:rsid w:val="008C7FB6"/>
    <w:rsid w:val="008D0B85"/>
    <w:rsid w:val="008D7E11"/>
    <w:rsid w:val="008E3E59"/>
    <w:rsid w:val="008E43A3"/>
    <w:rsid w:val="008E4657"/>
    <w:rsid w:val="008E7D4A"/>
    <w:rsid w:val="008F003A"/>
    <w:rsid w:val="008F3A16"/>
    <w:rsid w:val="00900A2C"/>
    <w:rsid w:val="0090669E"/>
    <w:rsid w:val="009074AA"/>
    <w:rsid w:val="009132C3"/>
    <w:rsid w:val="00913FEC"/>
    <w:rsid w:val="00917182"/>
    <w:rsid w:val="009175CE"/>
    <w:rsid w:val="0092256B"/>
    <w:rsid w:val="00926939"/>
    <w:rsid w:val="009277C1"/>
    <w:rsid w:val="00932C37"/>
    <w:rsid w:val="00934310"/>
    <w:rsid w:val="0093464F"/>
    <w:rsid w:val="0093553C"/>
    <w:rsid w:val="0093681C"/>
    <w:rsid w:val="00937192"/>
    <w:rsid w:val="009375A0"/>
    <w:rsid w:val="00937E0E"/>
    <w:rsid w:val="0094187C"/>
    <w:rsid w:val="00942646"/>
    <w:rsid w:val="009432B2"/>
    <w:rsid w:val="009435D0"/>
    <w:rsid w:val="00951184"/>
    <w:rsid w:val="00951C9C"/>
    <w:rsid w:val="00951DE2"/>
    <w:rsid w:val="009561B1"/>
    <w:rsid w:val="00960D66"/>
    <w:rsid w:val="00964BBA"/>
    <w:rsid w:val="00973EB5"/>
    <w:rsid w:val="0097412C"/>
    <w:rsid w:val="00981787"/>
    <w:rsid w:val="00982E4D"/>
    <w:rsid w:val="00983AB0"/>
    <w:rsid w:val="009846D4"/>
    <w:rsid w:val="00986418"/>
    <w:rsid w:val="009864A4"/>
    <w:rsid w:val="009936F3"/>
    <w:rsid w:val="0099560A"/>
    <w:rsid w:val="0099602D"/>
    <w:rsid w:val="009A23A4"/>
    <w:rsid w:val="009A6C19"/>
    <w:rsid w:val="009B2069"/>
    <w:rsid w:val="009B2BCB"/>
    <w:rsid w:val="009C15AC"/>
    <w:rsid w:val="009C54AC"/>
    <w:rsid w:val="009C5D53"/>
    <w:rsid w:val="009D08CB"/>
    <w:rsid w:val="009D2FAB"/>
    <w:rsid w:val="009D7BDA"/>
    <w:rsid w:val="009E2E23"/>
    <w:rsid w:val="009E50B1"/>
    <w:rsid w:val="009E51C1"/>
    <w:rsid w:val="009E7181"/>
    <w:rsid w:val="009E79A5"/>
    <w:rsid w:val="009F3D82"/>
    <w:rsid w:val="00A00600"/>
    <w:rsid w:val="00A0075C"/>
    <w:rsid w:val="00A02788"/>
    <w:rsid w:val="00A045E5"/>
    <w:rsid w:val="00A05862"/>
    <w:rsid w:val="00A07CCC"/>
    <w:rsid w:val="00A07F6E"/>
    <w:rsid w:val="00A10481"/>
    <w:rsid w:val="00A10B77"/>
    <w:rsid w:val="00A11B5F"/>
    <w:rsid w:val="00A125A1"/>
    <w:rsid w:val="00A1335A"/>
    <w:rsid w:val="00A20603"/>
    <w:rsid w:val="00A22816"/>
    <w:rsid w:val="00A22CE9"/>
    <w:rsid w:val="00A321F4"/>
    <w:rsid w:val="00A33241"/>
    <w:rsid w:val="00A33896"/>
    <w:rsid w:val="00A34415"/>
    <w:rsid w:val="00A34D70"/>
    <w:rsid w:val="00A36AD8"/>
    <w:rsid w:val="00A36C86"/>
    <w:rsid w:val="00A36D99"/>
    <w:rsid w:val="00A37A3F"/>
    <w:rsid w:val="00A41EBF"/>
    <w:rsid w:val="00A4228A"/>
    <w:rsid w:val="00A42427"/>
    <w:rsid w:val="00A45959"/>
    <w:rsid w:val="00A45E52"/>
    <w:rsid w:val="00A45FDF"/>
    <w:rsid w:val="00A467DF"/>
    <w:rsid w:val="00A51C31"/>
    <w:rsid w:val="00A5328E"/>
    <w:rsid w:val="00A54C7F"/>
    <w:rsid w:val="00A5571D"/>
    <w:rsid w:val="00A55957"/>
    <w:rsid w:val="00A55A4E"/>
    <w:rsid w:val="00A603BA"/>
    <w:rsid w:val="00A62713"/>
    <w:rsid w:val="00A647FC"/>
    <w:rsid w:val="00A67DA8"/>
    <w:rsid w:val="00A703A4"/>
    <w:rsid w:val="00A704DC"/>
    <w:rsid w:val="00A70A2D"/>
    <w:rsid w:val="00A72029"/>
    <w:rsid w:val="00A72789"/>
    <w:rsid w:val="00A73CED"/>
    <w:rsid w:val="00A75C99"/>
    <w:rsid w:val="00A8481E"/>
    <w:rsid w:val="00A8503B"/>
    <w:rsid w:val="00A8760D"/>
    <w:rsid w:val="00A92B06"/>
    <w:rsid w:val="00A9338F"/>
    <w:rsid w:val="00A972DD"/>
    <w:rsid w:val="00A97AA7"/>
    <w:rsid w:val="00AA03D0"/>
    <w:rsid w:val="00AA06F3"/>
    <w:rsid w:val="00AA3E5D"/>
    <w:rsid w:val="00AA44B0"/>
    <w:rsid w:val="00AB3DA9"/>
    <w:rsid w:val="00AB61D9"/>
    <w:rsid w:val="00AC28F1"/>
    <w:rsid w:val="00AC469A"/>
    <w:rsid w:val="00AC718B"/>
    <w:rsid w:val="00AD0E84"/>
    <w:rsid w:val="00AD4254"/>
    <w:rsid w:val="00AD486D"/>
    <w:rsid w:val="00AD4CB7"/>
    <w:rsid w:val="00AD6FA5"/>
    <w:rsid w:val="00AD70BD"/>
    <w:rsid w:val="00AE0C06"/>
    <w:rsid w:val="00AE2979"/>
    <w:rsid w:val="00AE2E8B"/>
    <w:rsid w:val="00AE35FE"/>
    <w:rsid w:val="00AE423B"/>
    <w:rsid w:val="00AE4C17"/>
    <w:rsid w:val="00AE5C65"/>
    <w:rsid w:val="00AF3407"/>
    <w:rsid w:val="00AF35B5"/>
    <w:rsid w:val="00AF454A"/>
    <w:rsid w:val="00AF50C3"/>
    <w:rsid w:val="00B00231"/>
    <w:rsid w:val="00B03A72"/>
    <w:rsid w:val="00B0595B"/>
    <w:rsid w:val="00B059A3"/>
    <w:rsid w:val="00B05FA7"/>
    <w:rsid w:val="00B06756"/>
    <w:rsid w:val="00B06CE5"/>
    <w:rsid w:val="00B07AE7"/>
    <w:rsid w:val="00B11A41"/>
    <w:rsid w:val="00B11AA6"/>
    <w:rsid w:val="00B1642B"/>
    <w:rsid w:val="00B21189"/>
    <w:rsid w:val="00B21E0C"/>
    <w:rsid w:val="00B332BF"/>
    <w:rsid w:val="00B33A75"/>
    <w:rsid w:val="00B35A91"/>
    <w:rsid w:val="00B410FF"/>
    <w:rsid w:val="00B42419"/>
    <w:rsid w:val="00B45CBB"/>
    <w:rsid w:val="00B5217B"/>
    <w:rsid w:val="00B613FC"/>
    <w:rsid w:val="00B6352C"/>
    <w:rsid w:val="00B645C0"/>
    <w:rsid w:val="00B66F03"/>
    <w:rsid w:val="00B670D6"/>
    <w:rsid w:val="00B67CAB"/>
    <w:rsid w:val="00B704D8"/>
    <w:rsid w:val="00B75EFF"/>
    <w:rsid w:val="00B76060"/>
    <w:rsid w:val="00B808E6"/>
    <w:rsid w:val="00B818C0"/>
    <w:rsid w:val="00B903FC"/>
    <w:rsid w:val="00B90E0B"/>
    <w:rsid w:val="00B96EE6"/>
    <w:rsid w:val="00BA0AB0"/>
    <w:rsid w:val="00BA19D7"/>
    <w:rsid w:val="00BA2D49"/>
    <w:rsid w:val="00BB0922"/>
    <w:rsid w:val="00BB4F9B"/>
    <w:rsid w:val="00BC05CB"/>
    <w:rsid w:val="00BC4331"/>
    <w:rsid w:val="00BD0C1F"/>
    <w:rsid w:val="00BD7C0E"/>
    <w:rsid w:val="00BE0125"/>
    <w:rsid w:val="00BE3E39"/>
    <w:rsid w:val="00BE4C84"/>
    <w:rsid w:val="00BE5408"/>
    <w:rsid w:val="00BE7E9C"/>
    <w:rsid w:val="00BF5A6E"/>
    <w:rsid w:val="00C0001A"/>
    <w:rsid w:val="00C00074"/>
    <w:rsid w:val="00C01327"/>
    <w:rsid w:val="00C0708F"/>
    <w:rsid w:val="00C109E6"/>
    <w:rsid w:val="00C120A5"/>
    <w:rsid w:val="00C20F23"/>
    <w:rsid w:val="00C24611"/>
    <w:rsid w:val="00C2470D"/>
    <w:rsid w:val="00C24AA1"/>
    <w:rsid w:val="00C26AD6"/>
    <w:rsid w:val="00C26E69"/>
    <w:rsid w:val="00C30151"/>
    <w:rsid w:val="00C31B81"/>
    <w:rsid w:val="00C366F3"/>
    <w:rsid w:val="00C436E0"/>
    <w:rsid w:val="00C4606F"/>
    <w:rsid w:val="00C465BC"/>
    <w:rsid w:val="00C50A3A"/>
    <w:rsid w:val="00C51D17"/>
    <w:rsid w:val="00C52CCA"/>
    <w:rsid w:val="00C52F28"/>
    <w:rsid w:val="00C5333A"/>
    <w:rsid w:val="00C541CA"/>
    <w:rsid w:val="00C57E40"/>
    <w:rsid w:val="00C57EA7"/>
    <w:rsid w:val="00C61285"/>
    <w:rsid w:val="00C62233"/>
    <w:rsid w:val="00C62F43"/>
    <w:rsid w:val="00C635F6"/>
    <w:rsid w:val="00C653BC"/>
    <w:rsid w:val="00C7292D"/>
    <w:rsid w:val="00C75607"/>
    <w:rsid w:val="00C75EBA"/>
    <w:rsid w:val="00C8012D"/>
    <w:rsid w:val="00C80F1C"/>
    <w:rsid w:val="00C81BA8"/>
    <w:rsid w:val="00C82A91"/>
    <w:rsid w:val="00C83771"/>
    <w:rsid w:val="00C852DD"/>
    <w:rsid w:val="00C86B6A"/>
    <w:rsid w:val="00C874B2"/>
    <w:rsid w:val="00C96372"/>
    <w:rsid w:val="00C973FD"/>
    <w:rsid w:val="00CA003F"/>
    <w:rsid w:val="00CA0456"/>
    <w:rsid w:val="00CA230C"/>
    <w:rsid w:val="00CA4C90"/>
    <w:rsid w:val="00CA5CCF"/>
    <w:rsid w:val="00CA6FDC"/>
    <w:rsid w:val="00CB48E3"/>
    <w:rsid w:val="00CB569D"/>
    <w:rsid w:val="00CB7D11"/>
    <w:rsid w:val="00CC0F9A"/>
    <w:rsid w:val="00CC671E"/>
    <w:rsid w:val="00CD1631"/>
    <w:rsid w:val="00CD61C1"/>
    <w:rsid w:val="00CD71D0"/>
    <w:rsid w:val="00CD783D"/>
    <w:rsid w:val="00CE0975"/>
    <w:rsid w:val="00CE2771"/>
    <w:rsid w:val="00CE3A80"/>
    <w:rsid w:val="00CE4619"/>
    <w:rsid w:val="00CE5081"/>
    <w:rsid w:val="00CE546F"/>
    <w:rsid w:val="00CE74F8"/>
    <w:rsid w:val="00CF2396"/>
    <w:rsid w:val="00CF39CB"/>
    <w:rsid w:val="00CF3C0C"/>
    <w:rsid w:val="00CF45BD"/>
    <w:rsid w:val="00CF4AB0"/>
    <w:rsid w:val="00D015F7"/>
    <w:rsid w:val="00D0227F"/>
    <w:rsid w:val="00D037E4"/>
    <w:rsid w:val="00D05C97"/>
    <w:rsid w:val="00D063B1"/>
    <w:rsid w:val="00D12164"/>
    <w:rsid w:val="00D14A6A"/>
    <w:rsid w:val="00D14E80"/>
    <w:rsid w:val="00D15E86"/>
    <w:rsid w:val="00D16312"/>
    <w:rsid w:val="00D21F28"/>
    <w:rsid w:val="00D2210B"/>
    <w:rsid w:val="00D228B1"/>
    <w:rsid w:val="00D23C4C"/>
    <w:rsid w:val="00D272A8"/>
    <w:rsid w:val="00D31E6D"/>
    <w:rsid w:val="00D4070D"/>
    <w:rsid w:val="00D427FD"/>
    <w:rsid w:val="00D444BA"/>
    <w:rsid w:val="00D44549"/>
    <w:rsid w:val="00D4580C"/>
    <w:rsid w:val="00D45D7A"/>
    <w:rsid w:val="00D47F7B"/>
    <w:rsid w:val="00D50A5E"/>
    <w:rsid w:val="00D5773A"/>
    <w:rsid w:val="00D63BF5"/>
    <w:rsid w:val="00D65154"/>
    <w:rsid w:val="00D71404"/>
    <w:rsid w:val="00D7150D"/>
    <w:rsid w:val="00D71AC9"/>
    <w:rsid w:val="00D734C9"/>
    <w:rsid w:val="00D75CD0"/>
    <w:rsid w:val="00D76161"/>
    <w:rsid w:val="00D81074"/>
    <w:rsid w:val="00D83130"/>
    <w:rsid w:val="00D86A09"/>
    <w:rsid w:val="00D90B87"/>
    <w:rsid w:val="00D93BD0"/>
    <w:rsid w:val="00D94210"/>
    <w:rsid w:val="00D943B2"/>
    <w:rsid w:val="00D96D2D"/>
    <w:rsid w:val="00D96F70"/>
    <w:rsid w:val="00D97750"/>
    <w:rsid w:val="00DA31DB"/>
    <w:rsid w:val="00DA33A4"/>
    <w:rsid w:val="00DA6BB7"/>
    <w:rsid w:val="00DA6E33"/>
    <w:rsid w:val="00DA733E"/>
    <w:rsid w:val="00DB1B20"/>
    <w:rsid w:val="00DB2F38"/>
    <w:rsid w:val="00DB5ECD"/>
    <w:rsid w:val="00DB619F"/>
    <w:rsid w:val="00DB6330"/>
    <w:rsid w:val="00DC0919"/>
    <w:rsid w:val="00DC3945"/>
    <w:rsid w:val="00DC4981"/>
    <w:rsid w:val="00DD142B"/>
    <w:rsid w:val="00DD3539"/>
    <w:rsid w:val="00DD52F5"/>
    <w:rsid w:val="00DE0E9E"/>
    <w:rsid w:val="00DE1849"/>
    <w:rsid w:val="00DE4BDC"/>
    <w:rsid w:val="00DE5591"/>
    <w:rsid w:val="00DE7EAE"/>
    <w:rsid w:val="00DF2DB8"/>
    <w:rsid w:val="00DF325E"/>
    <w:rsid w:val="00DF5D00"/>
    <w:rsid w:val="00DF752B"/>
    <w:rsid w:val="00DF767F"/>
    <w:rsid w:val="00E0305C"/>
    <w:rsid w:val="00E059AC"/>
    <w:rsid w:val="00E10EC9"/>
    <w:rsid w:val="00E11F3D"/>
    <w:rsid w:val="00E11FFC"/>
    <w:rsid w:val="00E17443"/>
    <w:rsid w:val="00E2310C"/>
    <w:rsid w:val="00E24282"/>
    <w:rsid w:val="00E25338"/>
    <w:rsid w:val="00E25A02"/>
    <w:rsid w:val="00E25C50"/>
    <w:rsid w:val="00E32D20"/>
    <w:rsid w:val="00E36D80"/>
    <w:rsid w:val="00E43B5F"/>
    <w:rsid w:val="00E465FE"/>
    <w:rsid w:val="00E50A59"/>
    <w:rsid w:val="00E5269A"/>
    <w:rsid w:val="00E52941"/>
    <w:rsid w:val="00E529B6"/>
    <w:rsid w:val="00E550DB"/>
    <w:rsid w:val="00E57C7D"/>
    <w:rsid w:val="00E60822"/>
    <w:rsid w:val="00E6168C"/>
    <w:rsid w:val="00E62072"/>
    <w:rsid w:val="00E65E6F"/>
    <w:rsid w:val="00E70AF7"/>
    <w:rsid w:val="00E761C9"/>
    <w:rsid w:val="00E77B15"/>
    <w:rsid w:val="00E80545"/>
    <w:rsid w:val="00E809F0"/>
    <w:rsid w:val="00E80D08"/>
    <w:rsid w:val="00E8113A"/>
    <w:rsid w:val="00E82058"/>
    <w:rsid w:val="00E83FD5"/>
    <w:rsid w:val="00E91C50"/>
    <w:rsid w:val="00E9384F"/>
    <w:rsid w:val="00E942F3"/>
    <w:rsid w:val="00E96AE1"/>
    <w:rsid w:val="00EA0128"/>
    <w:rsid w:val="00EA0F5E"/>
    <w:rsid w:val="00EA490D"/>
    <w:rsid w:val="00EA62EE"/>
    <w:rsid w:val="00EA75DF"/>
    <w:rsid w:val="00EB26EA"/>
    <w:rsid w:val="00EB33B6"/>
    <w:rsid w:val="00EB4ECB"/>
    <w:rsid w:val="00EB538D"/>
    <w:rsid w:val="00EB5FAE"/>
    <w:rsid w:val="00EB72E6"/>
    <w:rsid w:val="00EB7841"/>
    <w:rsid w:val="00EC2463"/>
    <w:rsid w:val="00EC3DE8"/>
    <w:rsid w:val="00EC4D27"/>
    <w:rsid w:val="00ED10FC"/>
    <w:rsid w:val="00ED375E"/>
    <w:rsid w:val="00ED5AC2"/>
    <w:rsid w:val="00ED6EFC"/>
    <w:rsid w:val="00EE000A"/>
    <w:rsid w:val="00EE170B"/>
    <w:rsid w:val="00EE636D"/>
    <w:rsid w:val="00EE6FED"/>
    <w:rsid w:val="00EE72AA"/>
    <w:rsid w:val="00EE7775"/>
    <w:rsid w:val="00EF4895"/>
    <w:rsid w:val="00EF4B17"/>
    <w:rsid w:val="00EF62B7"/>
    <w:rsid w:val="00F0081C"/>
    <w:rsid w:val="00F00993"/>
    <w:rsid w:val="00F00E60"/>
    <w:rsid w:val="00F02AA0"/>
    <w:rsid w:val="00F035CB"/>
    <w:rsid w:val="00F0386D"/>
    <w:rsid w:val="00F1021A"/>
    <w:rsid w:val="00F10361"/>
    <w:rsid w:val="00F127F7"/>
    <w:rsid w:val="00F14F47"/>
    <w:rsid w:val="00F15DB6"/>
    <w:rsid w:val="00F1732C"/>
    <w:rsid w:val="00F20398"/>
    <w:rsid w:val="00F26302"/>
    <w:rsid w:val="00F266C6"/>
    <w:rsid w:val="00F27721"/>
    <w:rsid w:val="00F302FC"/>
    <w:rsid w:val="00F333A1"/>
    <w:rsid w:val="00F43353"/>
    <w:rsid w:val="00F438EA"/>
    <w:rsid w:val="00F45A3B"/>
    <w:rsid w:val="00F47B51"/>
    <w:rsid w:val="00F51BFB"/>
    <w:rsid w:val="00F552CF"/>
    <w:rsid w:val="00F55DBE"/>
    <w:rsid w:val="00F62B5D"/>
    <w:rsid w:val="00F63DBA"/>
    <w:rsid w:val="00F64A4C"/>
    <w:rsid w:val="00F65BAF"/>
    <w:rsid w:val="00F71902"/>
    <w:rsid w:val="00F71A64"/>
    <w:rsid w:val="00F72407"/>
    <w:rsid w:val="00F76103"/>
    <w:rsid w:val="00F80288"/>
    <w:rsid w:val="00F8268D"/>
    <w:rsid w:val="00F852F0"/>
    <w:rsid w:val="00F86DA8"/>
    <w:rsid w:val="00F87F39"/>
    <w:rsid w:val="00F92031"/>
    <w:rsid w:val="00F92615"/>
    <w:rsid w:val="00F93D78"/>
    <w:rsid w:val="00FA5729"/>
    <w:rsid w:val="00FA683F"/>
    <w:rsid w:val="00FA685E"/>
    <w:rsid w:val="00FC0C20"/>
    <w:rsid w:val="00FC2392"/>
    <w:rsid w:val="00FC57F5"/>
    <w:rsid w:val="00FC6300"/>
    <w:rsid w:val="00FC6684"/>
    <w:rsid w:val="00FC68B4"/>
    <w:rsid w:val="00FD345E"/>
    <w:rsid w:val="00FD3CCD"/>
    <w:rsid w:val="00FD5077"/>
    <w:rsid w:val="00FD6401"/>
    <w:rsid w:val="00FE06E1"/>
    <w:rsid w:val="00FE0BF7"/>
    <w:rsid w:val="00FE4F6F"/>
    <w:rsid w:val="00FF2249"/>
    <w:rsid w:val="00FF3273"/>
    <w:rsid w:val="00FF505E"/>
    <w:rsid w:val="00FF7C19"/>
    <w:rsid w:val="01881557"/>
    <w:rsid w:val="01977562"/>
    <w:rsid w:val="020DEB09"/>
    <w:rsid w:val="02A128B7"/>
    <w:rsid w:val="02B183D8"/>
    <w:rsid w:val="03E1B676"/>
    <w:rsid w:val="047DF470"/>
    <w:rsid w:val="04D2A6E9"/>
    <w:rsid w:val="04F9F128"/>
    <w:rsid w:val="05246F60"/>
    <w:rsid w:val="055708C7"/>
    <w:rsid w:val="055C1C0E"/>
    <w:rsid w:val="05AB6730"/>
    <w:rsid w:val="061AEABD"/>
    <w:rsid w:val="065A6014"/>
    <w:rsid w:val="065C4320"/>
    <w:rsid w:val="06F4ED6C"/>
    <w:rsid w:val="0733A1EA"/>
    <w:rsid w:val="078EEB04"/>
    <w:rsid w:val="079F768E"/>
    <w:rsid w:val="08CA22EB"/>
    <w:rsid w:val="095BFA88"/>
    <w:rsid w:val="0A254639"/>
    <w:rsid w:val="0ACE80F8"/>
    <w:rsid w:val="0B20CCEF"/>
    <w:rsid w:val="0B3A3AA1"/>
    <w:rsid w:val="0B9E13D9"/>
    <w:rsid w:val="0BBDB70C"/>
    <w:rsid w:val="0BBF4AA0"/>
    <w:rsid w:val="0BD54916"/>
    <w:rsid w:val="0BF50CBA"/>
    <w:rsid w:val="0BFB97CC"/>
    <w:rsid w:val="0D0D38A2"/>
    <w:rsid w:val="0D4F89DB"/>
    <w:rsid w:val="0D55AAAE"/>
    <w:rsid w:val="0D809ADD"/>
    <w:rsid w:val="0DC7C8FB"/>
    <w:rsid w:val="0E2B55A8"/>
    <w:rsid w:val="0E4D7C52"/>
    <w:rsid w:val="0F9CAF5D"/>
    <w:rsid w:val="0FB36383"/>
    <w:rsid w:val="0FBBCA7D"/>
    <w:rsid w:val="0FC956B2"/>
    <w:rsid w:val="10C46B05"/>
    <w:rsid w:val="11021132"/>
    <w:rsid w:val="11211BC2"/>
    <w:rsid w:val="11710AE3"/>
    <w:rsid w:val="118B5277"/>
    <w:rsid w:val="11A0CCA7"/>
    <w:rsid w:val="11F7BE08"/>
    <w:rsid w:val="122A2325"/>
    <w:rsid w:val="1251EE27"/>
    <w:rsid w:val="1286ABE4"/>
    <w:rsid w:val="12968460"/>
    <w:rsid w:val="12C07E70"/>
    <w:rsid w:val="1323D657"/>
    <w:rsid w:val="1354A39A"/>
    <w:rsid w:val="135F4F1F"/>
    <w:rsid w:val="13C332DF"/>
    <w:rsid w:val="13D4EFCD"/>
    <w:rsid w:val="1442CF35"/>
    <w:rsid w:val="147CC8CC"/>
    <w:rsid w:val="1521AD2F"/>
    <w:rsid w:val="1553CF54"/>
    <w:rsid w:val="164E14CB"/>
    <w:rsid w:val="167D3613"/>
    <w:rsid w:val="168C5723"/>
    <w:rsid w:val="16C0DCDA"/>
    <w:rsid w:val="16F61D58"/>
    <w:rsid w:val="175617AB"/>
    <w:rsid w:val="175BA6E3"/>
    <w:rsid w:val="177C28CD"/>
    <w:rsid w:val="178969E2"/>
    <w:rsid w:val="17B4D3B4"/>
    <w:rsid w:val="1849FB34"/>
    <w:rsid w:val="186A95AF"/>
    <w:rsid w:val="186C3B37"/>
    <w:rsid w:val="187BD866"/>
    <w:rsid w:val="1895A49B"/>
    <w:rsid w:val="18AFC2C9"/>
    <w:rsid w:val="18C3B8C8"/>
    <w:rsid w:val="1913D31C"/>
    <w:rsid w:val="19308687"/>
    <w:rsid w:val="196291E8"/>
    <w:rsid w:val="19B3A5E0"/>
    <w:rsid w:val="1A1F5231"/>
    <w:rsid w:val="1A239CE5"/>
    <w:rsid w:val="1A5BCBD9"/>
    <w:rsid w:val="1A6E8C63"/>
    <w:rsid w:val="1A74A087"/>
    <w:rsid w:val="1AC0D585"/>
    <w:rsid w:val="1B101418"/>
    <w:rsid w:val="1B775CC6"/>
    <w:rsid w:val="1C2DD475"/>
    <w:rsid w:val="1C97AB54"/>
    <w:rsid w:val="1D95FFCE"/>
    <w:rsid w:val="1DA2EBDE"/>
    <w:rsid w:val="1DF55CB7"/>
    <w:rsid w:val="1E107A28"/>
    <w:rsid w:val="1E29447E"/>
    <w:rsid w:val="1EC3F186"/>
    <w:rsid w:val="1F3B04FB"/>
    <w:rsid w:val="1F3F1E81"/>
    <w:rsid w:val="1F846CC9"/>
    <w:rsid w:val="1F9A3535"/>
    <w:rsid w:val="1FBD889B"/>
    <w:rsid w:val="1FBF26D0"/>
    <w:rsid w:val="1FDBADEB"/>
    <w:rsid w:val="202AA25A"/>
    <w:rsid w:val="20B0D299"/>
    <w:rsid w:val="2150452A"/>
    <w:rsid w:val="21ACDB8C"/>
    <w:rsid w:val="2223BC23"/>
    <w:rsid w:val="2244B72E"/>
    <w:rsid w:val="2245702D"/>
    <w:rsid w:val="22643248"/>
    <w:rsid w:val="22E6910E"/>
    <w:rsid w:val="23D7CF72"/>
    <w:rsid w:val="24CF437F"/>
    <w:rsid w:val="24D061CB"/>
    <w:rsid w:val="24F25CAA"/>
    <w:rsid w:val="259A17AB"/>
    <w:rsid w:val="25C04AE2"/>
    <w:rsid w:val="25D5401A"/>
    <w:rsid w:val="25DBE79A"/>
    <w:rsid w:val="25E46A1D"/>
    <w:rsid w:val="2622AAD3"/>
    <w:rsid w:val="26F3EBED"/>
    <w:rsid w:val="26FEBD22"/>
    <w:rsid w:val="273513BA"/>
    <w:rsid w:val="28996EE0"/>
    <w:rsid w:val="29CC709F"/>
    <w:rsid w:val="2A4B422D"/>
    <w:rsid w:val="2AC97212"/>
    <w:rsid w:val="2B5ECC1B"/>
    <w:rsid w:val="2B6DCF5B"/>
    <w:rsid w:val="2B77AE0A"/>
    <w:rsid w:val="2C4048DE"/>
    <w:rsid w:val="2C6B6B13"/>
    <w:rsid w:val="2CB3D9DC"/>
    <w:rsid w:val="2CB5D7C9"/>
    <w:rsid w:val="2CCD777E"/>
    <w:rsid w:val="2D3DB0B3"/>
    <w:rsid w:val="2D7B8241"/>
    <w:rsid w:val="2E06BD51"/>
    <w:rsid w:val="2E0CEE9F"/>
    <w:rsid w:val="2E1468BA"/>
    <w:rsid w:val="2E3E29B1"/>
    <w:rsid w:val="2E5D3F66"/>
    <w:rsid w:val="2F1832D5"/>
    <w:rsid w:val="2F1EC22A"/>
    <w:rsid w:val="2F1EDFF2"/>
    <w:rsid w:val="2F43EFF9"/>
    <w:rsid w:val="2F4FBFEF"/>
    <w:rsid w:val="2F6E5B22"/>
    <w:rsid w:val="2FD1AF89"/>
    <w:rsid w:val="2FF9F4EF"/>
    <w:rsid w:val="30383AF4"/>
    <w:rsid w:val="3057720A"/>
    <w:rsid w:val="30A15775"/>
    <w:rsid w:val="30A809E0"/>
    <w:rsid w:val="30CF9EDB"/>
    <w:rsid w:val="31938D5E"/>
    <w:rsid w:val="31D417A3"/>
    <w:rsid w:val="31E05110"/>
    <w:rsid w:val="323B719A"/>
    <w:rsid w:val="3290F2F8"/>
    <w:rsid w:val="32BF7006"/>
    <w:rsid w:val="3317F35D"/>
    <w:rsid w:val="334B1ED0"/>
    <w:rsid w:val="3387E62D"/>
    <w:rsid w:val="33C2BC40"/>
    <w:rsid w:val="341585EB"/>
    <w:rsid w:val="344F4EA3"/>
    <w:rsid w:val="347314C1"/>
    <w:rsid w:val="3495B444"/>
    <w:rsid w:val="34D8901D"/>
    <w:rsid w:val="36015CA5"/>
    <w:rsid w:val="36772433"/>
    <w:rsid w:val="36B43C8C"/>
    <w:rsid w:val="36CE2114"/>
    <w:rsid w:val="3769B973"/>
    <w:rsid w:val="3771FE76"/>
    <w:rsid w:val="37851481"/>
    <w:rsid w:val="37B027DC"/>
    <w:rsid w:val="392CB2F9"/>
    <w:rsid w:val="39C479A8"/>
    <w:rsid w:val="39CEB51C"/>
    <w:rsid w:val="3AB2040A"/>
    <w:rsid w:val="3ABC8AAB"/>
    <w:rsid w:val="3AC53A9B"/>
    <w:rsid w:val="3B13708B"/>
    <w:rsid w:val="3B1FC19D"/>
    <w:rsid w:val="3C0E5B24"/>
    <w:rsid w:val="3C18F990"/>
    <w:rsid w:val="3CA1430F"/>
    <w:rsid w:val="3CDEC6DC"/>
    <w:rsid w:val="3CF4A248"/>
    <w:rsid w:val="3D022C6D"/>
    <w:rsid w:val="3D13C64D"/>
    <w:rsid w:val="3D9586CE"/>
    <w:rsid w:val="3DEB52E5"/>
    <w:rsid w:val="3E608D90"/>
    <w:rsid w:val="3E6E4A0D"/>
    <w:rsid w:val="3EA0DE05"/>
    <w:rsid w:val="3EE72489"/>
    <w:rsid w:val="3EEC9CC7"/>
    <w:rsid w:val="3F159A7F"/>
    <w:rsid w:val="3FB06B87"/>
    <w:rsid w:val="3FC72889"/>
    <w:rsid w:val="4061A549"/>
    <w:rsid w:val="4132AD07"/>
    <w:rsid w:val="4141A1D7"/>
    <w:rsid w:val="4155169F"/>
    <w:rsid w:val="41660FE7"/>
    <w:rsid w:val="419DC81F"/>
    <w:rsid w:val="41DA2838"/>
    <w:rsid w:val="421836EB"/>
    <w:rsid w:val="426D04B0"/>
    <w:rsid w:val="433FE82C"/>
    <w:rsid w:val="4361BCA0"/>
    <w:rsid w:val="43774554"/>
    <w:rsid w:val="4380C041"/>
    <w:rsid w:val="43893557"/>
    <w:rsid w:val="445FCA61"/>
    <w:rsid w:val="4532131E"/>
    <w:rsid w:val="454B0B83"/>
    <w:rsid w:val="4557239D"/>
    <w:rsid w:val="45635848"/>
    <w:rsid w:val="458D183E"/>
    <w:rsid w:val="45B23315"/>
    <w:rsid w:val="46016227"/>
    <w:rsid w:val="465A30AF"/>
    <w:rsid w:val="465F8FBB"/>
    <w:rsid w:val="466C7CC8"/>
    <w:rsid w:val="4693F605"/>
    <w:rsid w:val="4708C359"/>
    <w:rsid w:val="470FE63A"/>
    <w:rsid w:val="474166F1"/>
    <w:rsid w:val="4784B19F"/>
    <w:rsid w:val="482DAC3B"/>
    <w:rsid w:val="4860DF10"/>
    <w:rsid w:val="4902EDCB"/>
    <w:rsid w:val="4978AE36"/>
    <w:rsid w:val="497CC02E"/>
    <w:rsid w:val="49A50135"/>
    <w:rsid w:val="49B4A8C0"/>
    <w:rsid w:val="4A3F6624"/>
    <w:rsid w:val="4A484CF8"/>
    <w:rsid w:val="4A9659E9"/>
    <w:rsid w:val="4AB2AAF4"/>
    <w:rsid w:val="4B8A2AE1"/>
    <w:rsid w:val="4B9A8CD7"/>
    <w:rsid w:val="4C706AC1"/>
    <w:rsid w:val="4CBCFE5A"/>
    <w:rsid w:val="4CBD0C40"/>
    <w:rsid w:val="4DC52803"/>
    <w:rsid w:val="4DC634CE"/>
    <w:rsid w:val="4E84D18C"/>
    <w:rsid w:val="4F019855"/>
    <w:rsid w:val="4F20EA76"/>
    <w:rsid w:val="4F4583AE"/>
    <w:rsid w:val="4F878E5C"/>
    <w:rsid w:val="4FED655A"/>
    <w:rsid w:val="4FF1E696"/>
    <w:rsid w:val="4FFB78F9"/>
    <w:rsid w:val="500DA6E6"/>
    <w:rsid w:val="502E1BF8"/>
    <w:rsid w:val="50330954"/>
    <w:rsid w:val="50D0871A"/>
    <w:rsid w:val="52CBCBBA"/>
    <w:rsid w:val="52DA4057"/>
    <w:rsid w:val="53036A6F"/>
    <w:rsid w:val="539CBF78"/>
    <w:rsid w:val="53AB8961"/>
    <w:rsid w:val="53B68E09"/>
    <w:rsid w:val="53C286D6"/>
    <w:rsid w:val="5461D999"/>
    <w:rsid w:val="547DC7B2"/>
    <w:rsid w:val="5488B49E"/>
    <w:rsid w:val="54B07A10"/>
    <w:rsid w:val="551F1188"/>
    <w:rsid w:val="5547B064"/>
    <w:rsid w:val="558D351A"/>
    <w:rsid w:val="55E06F37"/>
    <w:rsid w:val="55E6D173"/>
    <w:rsid w:val="57047000"/>
    <w:rsid w:val="5750700A"/>
    <w:rsid w:val="57839173"/>
    <w:rsid w:val="57C06D0F"/>
    <w:rsid w:val="582163E0"/>
    <w:rsid w:val="589F1AA2"/>
    <w:rsid w:val="595513E5"/>
    <w:rsid w:val="5969F937"/>
    <w:rsid w:val="5992CC8D"/>
    <w:rsid w:val="599DC750"/>
    <w:rsid w:val="59A2D647"/>
    <w:rsid w:val="59ED2205"/>
    <w:rsid w:val="5AF5F38F"/>
    <w:rsid w:val="5B21FCF5"/>
    <w:rsid w:val="5B74B623"/>
    <w:rsid w:val="5B79B368"/>
    <w:rsid w:val="5B8C0620"/>
    <w:rsid w:val="5BEC54F7"/>
    <w:rsid w:val="5C9C3B57"/>
    <w:rsid w:val="5CE3954D"/>
    <w:rsid w:val="5CF125D6"/>
    <w:rsid w:val="5CF2733E"/>
    <w:rsid w:val="5D0BADF1"/>
    <w:rsid w:val="5D35E825"/>
    <w:rsid w:val="5D86ED87"/>
    <w:rsid w:val="5DD1B768"/>
    <w:rsid w:val="5E6AA856"/>
    <w:rsid w:val="5EBB4C58"/>
    <w:rsid w:val="5EDECBE8"/>
    <w:rsid w:val="5EE20857"/>
    <w:rsid w:val="5F951B2D"/>
    <w:rsid w:val="600FF158"/>
    <w:rsid w:val="60506FFC"/>
    <w:rsid w:val="607A3523"/>
    <w:rsid w:val="607C5396"/>
    <w:rsid w:val="60B65898"/>
    <w:rsid w:val="6124BD8A"/>
    <w:rsid w:val="61731469"/>
    <w:rsid w:val="62B590D2"/>
    <w:rsid w:val="6356583C"/>
    <w:rsid w:val="63600567"/>
    <w:rsid w:val="6469EE57"/>
    <w:rsid w:val="646CFB09"/>
    <w:rsid w:val="64B7CCC1"/>
    <w:rsid w:val="64EB5F8C"/>
    <w:rsid w:val="6546D67B"/>
    <w:rsid w:val="656BB319"/>
    <w:rsid w:val="65DBB2A7"/>
    <w:rsid w:val="666AFD9A"/>
    <w:rsid w:val="66A30582"/>
    <w:rsid w:val="66DB0C67"/>
    <w:rsid w:val="672EEA5B"/>
    <w:rsid w:val="677F6C29"/>
    <w:rsid w:val="679E2619"/>
    <w:rsid w:val="67C9546C"/>
    <w:rsid w:val="68326800"/>
    <w:rsid w:val="68B84340"/>
    <w:rsid w:val="6A56996F"/>
    <w:rsid w:val="6AA60DE0"/>
    <w:rsid w:val="6AB78EBE"/>
    <w:rsid w:val="6B9A1A88"/>
    <w:rsid w:val="6B9EF104"/>
    <w:rsid w:val="6BDE0B96"/>
    <w:rsid w:val="6C59894D"/>
    <w:rsid w:val="6C71FADB"/>
    <w:rsid w:val="6CB22A8E"/>
    <w:rsid w:val="6CCA2ED0"/>
    <w:rsid w:val="6CCC3801"/>
    <w:rsid w:val="6CD99DED"/>
    <w:rsid w:val="6CE75FAC"/>
    <w:rsid w:val="6D6387F7"/>
    <w:rsid w:val="6E0200D6"/>
    <w:rsid w:val="6E4C7EC4"/>
    <w:rsid w:val="6E7AA556"/>
    <w:rsid w:val="6F1F40F1"/>
    <w:rsid w:val="6F2081E0"/>
    <w:rsid w:val="6F2444B7"/>
    <w:rsid w:val="706A6683"/>
    <w:rsid w:val="70D5FE03"/>
    <w:rsid w:val="714A88C0"/>
    <w:rsid w:val="718539F6"/>
    <w:rsid w:val="71B73C8C"/>
    <w:rsid w:val="71C9D753"/>
    <w:rsid w:val="71D0C976"/>
    <w:rsid w:val="71D4E3BC"/>
    <w:rsid w:val="728939EE"/>
    <w:rsid w:val="732BD340"/>
    <w:rsid w:val="73308DDA"/>
    <w:rsid w:val="7353D852"/>
    <w:rsid w:val="738257CD"/>
    <w:rsid w:val="73B13E39"/>
    <w:rsid w:val="73CEF3C3"/>
    <w:rsid w:val="744BDFEE"/>
    <w:rsid w:val="745DC0AD"/>
    <w:rsid w:val="74A97ED8"/>
    <w:rsid w:val="74B8AAD7"/>
    <w:rsid w:val="7590ACE7"/>
    <w:rsid w:val="75A2DCA8"/>
    <w:rsid w:val="764B533B"/>
    <w:rsid w:val="7677F48B"/>
    <w:rsid w:val="76B066F5"/>
    <w:rsid w:val="773061CD"/>
    <w:rsid w:val="774CDB28"/>
    <w:rsid w:val="78600598"/>
    <w:rsid w:val="786D04EA"/>
    <w:rsid w:val="7884D2D2"/>
    <w:rsid w:val="78B34A1E"/>
    <w:rsid w:val="7928DD7A"/>
    <w:rsid w:val="7998026F"/>
    <w:rsid w:val="79EFBF80"/>
    <w:rsid w:val="7A5D345E"/>
    <w:rsid w:val="7A600835"/>
    <w:rsid w:val="7AF0D037"/>
    <w:rsid w:val="7AFAA3BC"/>
    <w:rsid w:val="7BA96E53"/>
    <w:rsid w:val="7BF5A204"/>
    <w:rsid w:val="7CB6D69C"/>
    <w:rsid w:val="7CC7700D"/>
    <w:rsid w:val="7CE4057A"/>
    <w:rsid w:val="7D1ACC84"/>
    <w:rsid w:val="7D715EA0"/>
    <w:rsid w:val="7DCC9C91"/>
    <w:rsid w:val="7F390983"/>
    <w:rsid w:val="7F46FF21"/>
    <w:rsid w:val="7F783A63"/>
    <w:rsid w:val="7FB65179"/>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A566E"/>
  <w15:chartTrackingRefBased/>
  <w15:docId w15:val="{6082DF46-4358-4F47-990A-FE6474F7A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Mangal"/>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252B"/>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unhideWhenUsed/>
    <w:qFormat/>
    <w:rsid w:val="0067252B"/>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67252B"/>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6725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25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25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25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25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25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35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3588"/>
    <w:rPr>
      <w:rFonts w:cs="Mangal"/>
    </w:rPr>
  </w:style>
  <w:style w:type="paragraph" w:styleId="Footer">
    <w:name w:val="footer"/>
    <w:basedOn w:val="Normal"/>
    <w:link w:val="FooterChar"/>
    <w:uiPriority w:val="99"/>
    <w:unhideWhenUsed/>
    <w:rsid w:val="000A35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3588"/>
    <w:rPr>
      <w:rFonts w:cs="Mangal"/>
    </w:rPr>
  </w:style>
  <w:style w:type="character" w:customStyle="1" w:styleId="Heading1Char">
    <w:name w:val="Heading 1 Char"/>
    <w:basedOn w:val="DefaultParagraphFont"/>
    <w:link w:val="Heading1"/>
    <w:uiPriority w:val="9"/>
    <w:rsid w:val="0067252B"/>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rsid w:val="0067252B"/>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67252B"/>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6725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25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25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25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25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252B"/>
    <w:rPr>
      <w:rFonts w:eastAsiaTheme="majorEastAsia" w:cstheme="majorBidi"/>
      <w:color w:val="272727" w:themeColor="text1" w:themeTint="D8"/>
    </w:rPr>
  </w:style>
  <w:style w:type="paragraph" w:styleId="Title">
    <w:name w:val="Title"/>
    <w:basedOn w:val="Normal"/>
    <w:next w:val="Normal"/>
    <w:link w:val="TitleChar"/>
    <w:uiPriority w:val="10"/>
    <w:qFormat/>
    <w:rsid w:val="0067252B"/>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67252B"/>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67252B"/>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67252B"/>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67252B"/>
    <w:pPr>
      <w:spacing w:before="160"/>
      <w:jc w:val="center"/>
    </w:pPr>
    <w:rPr>
      <w:i/>
      <w:iCs/>
      <w:color w:val="404040" w:themeColor="text1" w:themeTint="BF"/>
    </w:rPr>
  </w:style>
  <w:style w:type="character" w:customStyle="1" w:styleId="QuoteChar">
    <w:name w:val="Quote Char"/>
    <w:basedOn w:val="DefaultParagraphFont"/>
    <w:link w:val="Quote"/>
    <w:uiPriority w:val="29"/>
    <w:rsid w:val="0067252B"/>
    <w:rPr>
      <w:i/>
      <w:iCs/>
      <w:color w:val="404040" w:themeColor="text1" w:themeTint="BF"/>
    </w:rPr>
  </w:style>
  <w:style w:type="paragraph" w:styleId="ListParagraph">
    <w:name w:val="List Paragraph"/>
    <w:basedOn w:val="Normal"/>
    <w:uiPriority w:val="34"/>
    <w:qFormat/>
    <w:rsid w:val="0067252B"/>
    <w:pPr>
      <w:ind w:left="720"/>
      <w:contextualSpacing/>
    </w:pPr>
  </w:style>
  <w:style w:type="character" w:styleId="IntenseEmphasis">
    <w:name w:val="Intense Emphasis"/>
    <w:basedOn w:val="DefaultParagraphFont"/>
    <w:uiPriority w:val="21"/>
    <w:qFormat/>
    <w:rsid w:val="0067252B"/>
    <w:rPr>
      <w:i/>
      <w:iCs/>
      <w:color w:val="0F4761" w:themeColor="accent1" w:themeShade="BF"/>
    </w:rPr>
  </w:style>
  <w:style w:type="paragraph" w:styleId="IntenseQuote">
    <w:name w:val="Intense Quote"/>
    <w:basedOn w:val="Normal"/>
    <w:next w:val="Normal"/>
    <w:link w:val="IntenseQuoteChar"/>
    <w:uiPriority w:val="30"/>
    <w:qFormat/>
    <w:rsid w:val="006725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252B"/>
    <w:rPr>
      <w:i/>
      <w:iCs/>
      <w:color w:val="0F4761" w:themeColor="accent1" w:themeShade="BF"/>
    </w:rPr>
  </w:style>
  <w:style w:type="character" w:styleId="IntenseReference">
    <w:name w:val="Intense Reference"/>
    <w:basedOn w:val="DefaultParagraphFont"/>
    <w:uiPriority w:val="32"/>
    <w:qFormat/>
    <w:rsid w:val="0067252B"/>
    <w:rPr>
      <w:b/>
      <w:bCs/>
      <w:smallCaps/>
      <w:color w:val="0F4761" w:themeColor="accent1" w:themeShade="BF"/>
      <w:spacing w:val="5"/>
    </w:rPr>
  </w:style>
  <w:style w:type="paragraph" w:styleId="TOCHeading">
    <w:name w:val="TOC Heading"/>
    <w:basedOn w:val="Heading1"/>
    <w:next w:val="Normal"/>
    <w:uiPriority w:val="39"/>
    <w:unhideWhenUsed/>
    <w:qFormat/>
    <w:rsid w:val="004A2A98"/>
    <w:pPr>
      <w:spacing w:before="240" w:after="0"/>
      <w:outlineLvl w:val="9"/>
    </w:pPr>
    <w:rPr>
      <w:sz w:val="32"/>
      <w:szCs w:val="32"/>
      <w:lang w:bidi="ar-SA"/>
    </w:rPr>
  </w:style>
  <w:style w:type="paragraph" w:styleId="TOC2">
    <w:name w:val="toc 2"/>
    <w:basedOn w:val="Normal"/>
    <w:next w:val="Normal"/>
    <w:autoRedefine/>
    <w:uiPriority w:val="39"/>
    <w:unhideWhenUsed/>
    <w:rsid w:val="004A2A98"/>
    <w:pPr>
      <w:spacing w:after="100"/>
      <w:ind w:left="220"/>
    </w:pPr>
  </w:style>
  <w:style w:type="character" w:styleId="Hyperlink">
    <w:name w:val="Hyperlink"/>
    <w:basedOn w:val="DefaultParagraphFont"/>
    <w:uiPriority w:val="99"/>
    <w:unhideWhenUsed/>
    <w:rsid w:val="004A2A98"/>
    <w:rPr>
      <w:color w:val="467886" w:themeColor="hyperlink"/>
      <w:u w:val="single"/>
    </w:rPr>
  </w:style>
  <w:style w:type="character" w:styleId="UnresolvedMention">
    <w:name w:val="Unresolved Mention"/>
    <w:basedOn w:val="DefaultParagraphFont"/>
    <w:uiPriority w:val="99"/>
    <w:semiHidden/>
    <w:unhideWhenUsed/>
    <w:rsid w:val="00B613FC"/>
    <w:rPr>
      <w:color w:val="605E5C"/>
      <w:shd w:val="clear" w:color="auto" w:fill="E1DFDD"/>
    </w:rPr>
  </w:style>
  <w:style w:type="paragraph" w:styleId="Revision">
    <w:name w:val="Revision"/>
    <w:hidden/>
    <w:uiPriority w:val="99"/>
    <w:semiHidden/>
    <w:rsid w:val="00197FB5"/>
    <w:pPr>
      <w:spacing w:after="0" w:line="240" w:lineRule="auto"/>
    </w:pPr>
  </w:style>
  <w:style w:type="paragraph" w:customStyle="1" w:styleId="paragraph">
    <w:name w:val="paragraph"/>
    <w:basedOn w:val="Normal"/>
    <w:rsid w:val="00AE2E8B"/>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AE2E8B"/>
  </w:style>
  <w:style w:type="character" w:customStyle="1" w:styleId="eop">
    <w:name w:val="eop"/>
    <w:basedOn w:val="DefaultParagraphFont"/>
    <w:rsid w:val="00AE2E8B"/>
  </w:style>
  <w:style w:type="character" w:styleId="CommentReference">
    <w:name w:val="annotation reference"/>
    <w:basedOn w:val="DefaultParagraphFont"/>
    <w:uiPriority w:val="99"/>
    <w:semiHidden/>
    <w:unhideWhenUsed/>
    <w:rsid w:val="00D93BD0"/>
    <w:rPr>
      <w:sz w:val="16"/>
      <w:szCs w:val="16"/>
    </w:rPr>
  </w:style>
  <w:style w:type="paragraph" w:styleId="CommentText">
    <w:name w:val="annotation text"/>
    <w:basedOn w:val="Normal"/>
    <w:link w:val="CommentTextChar"/>
    <w:uiPriority w:val="99"/>
    <w:unhideWhenUsed/>
    <w:rsid w:val="00D93BD0"/>
    <w:pPr>
      <w:spacing w:line="240" w:lineRule="auto"/>
    </w:pPr>
    <w:rPr>
      <w:sz w:val="20"/>
      <w:szCs w:val="18"/>
    </w:rPr>
  </w:style>
  <w:style w:type="character" w:customStyle="1" w:styleId="CommentTextChar">
    <w:name w:val="Comment Text Char"/>
    <w:basedOn w:val="DefaultParagraphFont"/>
    <w:link w:val="CommentText"/>
    <w:uiPriority w:val="99"/>
    <w:rsid w:val="00D93BD0"/>
    <w:rPr>
      <w:sz w:val="20"/>
      <w:szCs w:val="18"/>
    </w:rPr>
  </w:style>
  <w:style w:type="paragraph" w:styleId="CommentSubject">
    <w:name w:val="annotation subject"/>
    <w:basedOn w:val="CommentText"/>
    <w:next w:val="CommentText"/>
    <w:link w:val="CommentSubjectChar"/>
    <w:uiPriority w:val="99"/>
    <w:semiHidden/>
    <w:unhideWhenUsed/>
    <w:rsid w:val="00D93BD0"/>
    <w:rPr>
      <w:b/>
      <w:bCs/>
    </w:rPr>
  </w:style>
  <w:style w:type="character" w:customStyle="1" w:styleId="CommentSubjectChar">
    <w:name w:val="Comment Subject Char"/>
    <w:basedOn w:val="CommentTextChar"/>
    <w:link w:val="CommentSubject"/>
    <w:uiPriority w:val="99"/>
    <w:semiHidden/>
    <w:rsid w:val="00D93BD0"/>
    <w:rPr>
      <w:b/>
      <w:bCs/>
      <w:sz w:val="20"/>
      <w:szCs w:val="18"/>
    </w:rPr>
  </w:style>
  <w:style w:type="paragraph" w:styleId="NormalWeb">
    <w:name w:val="Normal (Web)"/>
    <w:basedOn w:val="Normal"/>
    <w:uiPriority w:val="99"/>
    <w:semiHidden/>
    <w:unhideWhenUsed/>
    <w:rsid w:val="00AC28F1"/>
    <w:rPr>
      <w:rFonts w:ascii="Times New Roman" w:hAnsi="Times New Roman"/>
      <w:sz w:val="24"/>
      <w:szCs w:val="21"/>
    </w:rPr>
  </w:style>
  <w:style w:type="character" w:styleId="FollowedHyperlink">
    <w:name w:val="FollowedHyperlink"/>
    <w:basedOn w:val="DefaultParagraphFont"/>
    <w:uiPriority w:val="99"/>
    <w:semiHidden/>
    <w:unhideWhenUsed/>
    <w:rsid w:val="00D4454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03593">
      <w:bodyDiv w:val="1"/>
      <w:marLeft w:val="0"/>
      <w:marRight w:val="0"/>
      <w:marTop w:val="0"/>
      <w:marBottom w:val="0"/>
      <w:divBdr>
        <w:top w:val="none" w:sz="0" w:space="0" w:color="auto"/>
        <w:left w:val="none" w:sz="0" w:space="0" w:color="auto"/>
        <w:bottom w:val="none" w:sz="0" w:space="0" w:color="auto"/>
        <w:right w:val="none" w:sz="0" w:space="0" w:color="auto"/>
      </w:divBdr>
    </w:div>
    <w:div w:id="175190430">
      <w:bodyDiv w:val="1"/>
      <w:marLeft w:val="0"/>
      <w:marRight w:val="0"/>
      <w:marTop w:val="0"/>
      <w:marBottom w:val="0"/>
      <w:divBdr>
        <w:top w:val="none" w:sz="0" w:space="0" w:color="auto"/>
        <w:left w:val="none" w:sz="0" w:space="0" w:color="auto"/>
        <w:bottom w:val="none" w:sz="0" w:space="0" w:color="auto"/>
        <w:right w:val="none" w:sz="0" w:space="0" w:color="auto"/>
      </w:divBdr>
    </w:div>
    <w:div w:id="209614628">
      <w:bodyDiv w:val="1"/>
      <w:marLeft w:val="0"/>
      <w:marRight w:val="0"/>
      <w:marTop w:val="0"/>
      <w:marBottom w:val="0"/>
      <w:divBdr>
        <w:top w:val="none" w:sz="0" w:space="0" w:color="auto"/>
        <w:left w:val="none" w:sz="0" w:space="0" w:color="auto"/>
        <w:bottom w:val="none" w:sz="0" w:space="0" w:color="auto"/>
        <w:right w:val="none" w:sz="0" w:space="0" w:color="auto"/>
      </w:divBdr>
    </w:div>
    <w:div w:id="659844538">
      <w:bodyDiv w:val="1"/>
      <w:marLeft w:val="0"/>
      <w:marRight w:val="0"/>
      <w:marTop w:val="0"/>
      <w:marBottom w:val="0"/>
      <w:divBdr>
        <w:top w:val="none" w:sz="0" w:space="0" w:color="auto"/>
        <w:left w:val="none" w:sz="0" w:space="0" w:color="auto"/>
        <w:bottom w:val="none" w:sz="0" w:space="0" w:color="auto"/>
        <w:right w:val="none" w:sz="0" w:space="0" w:color="auto"/>
      </w:divBdr>
    </w:div>
    <w:div w:id="776564057">
      <w:bodyDiv w:val="1"/>
      <w:marLeft w:val="0"/>
      <w:marRight w:val="0"/>
      <w:marTop w:val="0"/>
      <w:marBottom w:val="0"/>
      <w:divBdr>
        <w:top w:val="none" w:sz="0" w:space="0" w:color="auto"/>
        <w:left w:val="none" w:sz="0" w:space="0" w:color="auto"/>
        <w:bottom w:val="none" w:sz="0" w:space="0" w:color="auto"/>
        <w:right w:val="none" w:sz="0" w:space="0" w:color="auto"/>
      </w:divBdr>
    </w:div>
    <w:div w:id="853031074">
      <w:bodyDiv w:val="1"/>
      <w:marLeft w:val="0"/>
      <w:marRight w:val="0"/>
      <w:marTop w:val="0"/>
      <w:marBottom w:val="0"/>
      <w:divBdr>
        <w:top w:val="none" w:sz="0" w:space="0" w:color="auto"/>
        <w:left w:val="none" w:sz="0" w:space="0" w:color="auto"/>
        <w:bottom w:val="none" w:sz="0" w:space="0" w:color="auto"/>
        <w:right w:val="none" w:sz="0" w:space="0" w:color="auto"/>
      </w:divBdr>
      <w:divsChild>
        <w:div w:id="570771873">
          <w:marLeft w:val="0"/>
          <w:marRight w:val="0"/>
          <w:marTop w:val="0"/>
          <w:marBottom w:val="0"/>
          <w:divBdr>
            <w:top w:val="none" w:sz="0" w:space="0" w:color="auto"/>
            <w:left w:val="none" w:sz="0" w:space="0" w:color="auto"/>
            <w:bottom w:val="none" w:sz="0" w:space="0" w:color="auto"/>
            <w:right w:val="none" w:sz="0" w:space="0" w:color="auto"/>
          </w:divBdr>
        </w:div>
        <w:div w:id="1046879166">
          <w:marLeft w:val="0"/>
          <w:marRight w:val="0"/>
          <w:marTop w:val="0"/>
          <w:marBottom w:val="0"/>
          <w:divBdr>
            <w:top w:val="none" w:sz="0" w:space="0" w:color="auto"/>
            <w:left w:val="none" w:sz="0" w:space="0" w:color="auto"/>
            <w:bottom w:val="none" w:sz="0" w:space="0" w:color="auto"/>
            <w:right w:val="none" w:sz="0" w:space="0" w:color="auto"/>
          </w:divBdr>
        </w:div>
        <w:div w:id="1726562920">
          <w:marLeft w:val="0"/>
          <w:marRight w:val="0"/>
          <w:marTop w:val="0"/>
          <w:marBottom w:val="0"/>
          <w:divBdr>
            <w:top w:val="none" w:sz="0" w:space="0" w:color="auto"/>
            <w:left w:val="none" w:sz="0" w:space="0" w:color="auto"/>
            <w:bottom w:val="none" w:sz="0" w:space="0" w:color="auto"/>
            <w:right w:val="none" w:sz="0" w:space="0" w:color="auto"/>
          </w:divBdr>
        </w:div>
      </w:divsChild>
    </w:div>
    <w:div w:id="1355686596">
      <w:bodyDiv w:val="1"/>
      <w:marLeft w:val="0"/>
      <w:marRight w:val="0"/>
      <w:marTop w:val="0"/>
      <w:marBottom w:val="0"/>
      <w:divBdr>
        <w:top w:val="none" w:sz="0" w:space="0" w:color="auto"/>
        <w:left w:val="none" w:sz="0" w:space="0" w:color="auto"/>
        <w:bottom w:val="none" w:sz="0" w:space="0" w:color="auto"/>
        <w:right w:val="none" w:sz="0" w:space="0" w:color="auto"/>
      </w:divBdr>
    </w:div>
    <w:div w:id="1482817870">
      <w:bodyDiv w:val="1"/>
      <w:marLeft w:val="0"/>
      <w:marRight w:val="0"/>
      <w:marTop w:val="0"/>
      <w:marBottom w:val="0"/>
      <w:divBdr>
        <w:top w:val="none" w:sz="0" w:space="0" w:color="auto"/>
        <w:left w:val="none" w:sz="0" w:space="0" w:color="auto"/>
        <w:bottom w:val="none" w:sz="0" w:space="0" w:color="auto"/>
        <w:right w:val="none" w:sz="0" w:space="0" w:color="auto"/>
      </w:divBdr>
    </w:div>
    <w:div w:id="2092197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icmagroup.org/sustainable-finance/the-principles-guidelines-and-handbooks/sustainability-linked-loans-financing-bonds-guidelines-sllbg/" TargetMode="External"/><Relationship Id="rId18" Type="http://schemas.openxmlformats.org/officeDocument/2006/relationships/hyperlink" Target="https://www.nib.int/files/fb2a3c91b57e2de5286d5cd3fc2bb06c14a3b70f/nib-finalreport-10sept2025.pdf" TargetMode="External"/><Relationship Id="rId26" Type="http://schemas.openxmlformats.org/officeDocument/2006/relationships/image" Target="media/image2.png"/><Relationship Id="rId39" Type="http://schemas.openxmlformats.org/officeDocument/2006/relationships/header" Target="header3.xml"/><Relationship Id="rId21" Type="http://schemas.openxmlformats.org/officeDocument/2006/relationships/hyperlink" Target="https://www.nib.int/files/c85a91d959f174c19c7c6ecb8cf59da9fb3f7867/nib-sustainability-policy-2025.pdf" TargetMode="External"/><Relationship Id="rId34" Type="http://schemas.openxmlformats.org/officeDocument/2006/relationships/image" Target="media/image4.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nib.int/files/3483d84f48a1e0f46f61ce65b4fbe5a1a8db1f68/nib-sllb-framework.pdf" TargetMode="External"/><Relationship Id="rId20" Type="http://schemas.openxmlformats.org/officeDocument/2006/relationships/hyperlink" Target="https://www.nib.int/files/3483d84f48a1e0f46f61ce65b4fbe5a1a8db1f68/nib-sllb-framework.pdf" TargetMode="External"/><Relationship Id="rId29" Type="http://schemas.openxmlformats.org/officeDocument/2006/relationships/hyperlink" Target="https://www.nib.int/files/3483d84f48a1e0f46f61ce65b4fbe5a1a8db1f68/nib-sllb-framework.pdf"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nib.int/files/c0c05a980fd3a12a4fb6c882b2ac21da96b44f6f/nib-climate-strategy.pdf" TargetMode="External"/><Relationship Id="rId32" Type="http://schemas.openxmlformats.org/officeDocument/2006/relationships/hyperlink" Target="https://www.nib.int/files/3483d84f48a1e0f46f61ce65b4fbe5a1a8db1f68/nib-sllb-framework.pdf" TargetMode="External"/><Relationship Id="rId37" Type="http://schemas.openxmlformats.org/officeDocument/2006/relationships/header" Target="header2.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nib.int/files/3483d84f48a1e0f46f61ce65b4fbe5a1a8db1f68/nib-sllb-framework.pdf" TargetMode="External"/><Relationship Id="rId23" Type="http://schemas.openxmlformats.org/officeDocument/2006/relationships/hyperlink" Target="https://www.nib.int/files/99b3f23c49cad995f8c07225358236424b1a5643/nib-mrf-summary-20250909.pdf" TargetMode="External"/><Relationship Id="rId28" Type="http://schemas.openxmlformats.org/officeDocument/2006/relationships/hyperlink" Target="https://www.nib.int/files/3483d84f48a1e0f46f61ce65b4fbe5a1a8db1f68/nib-sllb-framework.pdf" TargetMode="External"/><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nib.int/files/c85a91d959f174c19c7c6ecb8cf59da9fb3f7867/nib-sustainability-policy-2025.pdf" TargetMode="External"/><Relationship Id="rId31" Type="http://schemas.openxmlformats.org/officeDocument/2006/relationships/hyperlink" Target="https://www.nib.int/files/c85a91d959f174c19c7c6ecb8cf59da9fb3f7867/nib-sustainability-policy-2025.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ib.int/investors/environmental-bonds" TargetMode="External"/><Relationship Id="rId22" Type="http://schemas.openxmlformats.org/officeDocument/2006/relationships/hyperlink" Target="https://www.nib.int/files/c85a91d959f174c19c7c6ecb8cf59da9fb3f7867/nib-sustainability-policy-2025.pdf" TargetMode="External"/><Relationship Id="rId27" Type="http://schemas.openxmlformats.org/officeDocument/2006/relationships/hyperlink" Target="https://www.nib.int/files/3483d84f48a1e0f46f61ce65b4fbe5a1a8db1f68/nib-sllb-framework.pdf" TargetMode="External"/><Relationship Id="rId30" Type="http://schemas.openxmlformats.org/officeDocument/2006/relationships/hyperlink" Target="https://www.nib.int/files/3483d84f48a1e0f46f61ce65b4fbe5a1a8db1f68/nib-sllb-framework.pdf" TargetMode="External"/><Relationship Id="rId35" Type="http://schemas.openxmlformats.org/officeDocument/2006/relationships/image" Target="cid:image002.png@01DC28CE.0AB94400"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nib.int/files/3483d84f48a1e0f46f61ce65b4fbe5a1a8db1f68/nib-sllb-framework.pdf" TargetMode="External"/><Relationship Id="rId17" Type="http://schemas.openxmlformats.org/officeDocument/2006/relationships/hyperlink" Target="https://www.nib.int/files/3483d84f48a1e0f46f61ce65b4fbe5a1a8db1f68/nib-sllb-framework.pdf" TargetMode="External"/><Relationship Id="rId25" Type="http://schemas.openxmlformats.org/officeDocument/2006/relationships/hyperlink" Target="https://www.nib.int/files/3483d84f48a1e0f46f61ce65b4fbe5a1a8db1f68/nib-sllb-framework.pdf" TargetMode="External"/><Relationship Id="rId33" Type="http://schemas.openxmlformats.org/officeDocument/2006/relationships/image" Target="media/image3.png"/><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38787D431664E4690AA435ED4E6F3D3" ma:contentTypeVersion="4" ma:contentTypeDescription="Create a new document." ma:contentTypeScope="" ma:versionID="1c7a268a2285db9cd7043957276d35b5">
  <xsd:schema xmlns:xsd="http://www.w3.org/2001/XMLSchema" xmlns:xs="http://www.w3.org/2001/XMLSchema" xmlns:p="http://schemas.microsoft.com/office/2006/metadata/properties" xmlns:ns2="b5ae3387-fec0-490f-9e4e-e3e147446b41" targetNamespace="http://schemas.microsoft.com/office/2006/metadata/properties" ma:root="true" ma:fieldsID="da68349a3fbddf826812239e6bf17c00" ns2:_="">
    <xsd:import namespace="b5ae3387-fec0-490f-9e4e-e3e147446b4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ae3387-fec0-490f-9e4e-e3e147446b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4E7DF-0569-443B-B51A-1535352FB0EA}">
  <ds:schemaRefs>
    <ds:schemaRef ds:uri="http://schemas.microsoft.com/sharepoint/v3/contenttype/forms"/>
  </ds:schemaRefs>
</ds:datastoreItem>
</file>

<file path=customXml/itemProps2.xml><?xml version="1.0" encoding="utf-8"?>
<ds:datastoreItem xmlns:ds="http://schemas.openxmlformats.org/officeDocument/2006/customXml" ds:itemID="{EF9F6353-C4CA-4623-8015-CC82A3F02AD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5AD1A7D-321B-472E-A366-3D2DAAC93B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ae3387-fec0-490f-9e4e-e3e147446b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10D89E2-B999-4324-B5D1-48786C286BEA}">
  <ds:schemaRefs>
    <ds:schemaRef ds:uri="http://schemas.openxmlformats.org/officeDocument/2006/bibliography"/>
  </ds:schemaRefs>
</ds:datastoreItem>
</file>

<file path=docMetadata/LabelInfo.xml><?xml version="1.0" encoding="utf-8"?>
<clbl:labelList xmlns:clbl="http://schemas.microsoft.com/office/2020/mipLabelMetadata">
  <clbl:label id="{343d6af5-3caa-4095-971a-5e4831de7935}" enabled="1" method="Privileged" siteId="{8d53dcbf-a554-4b44-93ba-8e50306ecbc0}" removed="0"/>
</clbl:labelList>
</file>

<file path=docProps/app.xml><?xml version="1.0" encoding="utf-8"?>
<Properties xmlns="http://schemas.openxmlformats.org/officeDocument/2006/extended-properties" xmlns:vt="http://schemas.openxmlformats.org/officeDocument/2006/docPropsVTypes">
  <Template>Normal</Template>
  <TotalTime>31</TotalTime>
  <Pages>1</Pages>
  <Words>3835</Words>
  <Characters>21866</Characters>
  <Application>Microsoft Office Word</Application>
  <DocSecurity>0</DocSecurity>
  <Lines>182</Lines>
  <Paragraphs>51</Paragraphs>
  <ScaleCrop>false</ScaleCrop>
  <Company/>
  <LinksUpToDate>false</LinksUpToDate>
  <CharactersWithSpaces>25650</CharactersWithSpaces>
  <SharedDoc>false</SharedDoc>
  <HLinks>
    <vt:vector size="174" baseType="variant">
      <vt:variant>
        <vt:i4>393217</vt:i4>
      </vt:variant>
      <vt:variant>
        <vt:i4>114</vt:i4>
      </vt:variant>
      <vt:variant>
        <vt:i4>0</vt:i4>
      </vt:variant>
      <vt:variant>
        <vt:i4>5</vt:i4>
      </vt:variant>
      <vt:variant>
        <vt:lpwstr>https://www.nib.int/files/3483d84f48a1e0f46f61ce65b4fbe5a1a8db1f68/nib-sllb-framework.pdf</vt:lpwstr>
      </vt:variant>
      <vt:variant>
        <vt:lpwstr/>
      </vt:variant>
      <vt:variant>
        <vt:i4>5701649</vt:i4>
      </vt:variant>
      <vt:variant>
        <vt:i4>111</vt:i4>
      </vt:variant>
      <vt:variant>
        <vt:i4>0</vt:i4>
      </vt:variant>
      <vt:variant>
        <vt:i4>5</vt:i4>
      </vt:variant>
      <vt:variant>
        <vt:lpwstr>https://www.nib.int/files/c85a91d959f174c19c7c6ecb8cf59da9fb3f7867/nib-sustainability-policy-2025.pdf</vt:lpwstr>
      </vt:variant>
      <vt:variant>
        <vt:lpwstr/>
      </vt:variant>
      <vt:variant>
        <vt:i4>393217</vt:i4>
      </vt:variant>
      <vt:variant>
        <vt:i4>108</vt:i4>
      </vt:variant>
      <vt:variant>
        <vt:i4>0</vt:i4>
      </vt:variant>
      <vt:variant>
        <vt:i4>5</vt:i4>
      </vt:variant>
      <vt:variant>
        <vt:lpwstr>https://www.nib.int/files/3483d84f48a1e0f46f61ce65b4fbe5a1a8db1f68/nib-sllb-framework.pdf</vt:lpwstr>
      </vt:variant>
      <vt:variant>
        <vt:lpwstr/>
      </vt:variant>
      <vt:variant>
        <vt:i4>393217</vt:i4>
      </vt:variant>
      <vt:variant>
        <vt:i4>105</vt:i4>
      </vt:variant>
      <vt:variant>
        <vt:i4>0</vt:i4>
      </vt:variant>
      <vt:variant>
        <vt:i4>5</vt:i4>
      </vt:variant>
      <vt:variant>
        <vt:lpwstr>https://www.nib.int/files/3483d84f48a1e0f46f61ce65b4fbe5a1a8db1f68/nib-sllb-framework.pdf</vt:lpwstr>
      </vt:variant>
      <vt:variant>
        <vt:lpwstr/>
      </vt:variant>
      <vt:variant>
        <vt:i4>393217</vt:i4>
      </vt:variant>
      <vt:variant>
        <vt:i4>102</vt:i4>
      </vt:variant>
      <vt:variant>
        <vt:i4>0</vt:i4>
      </vt:variant>
      <vt:variant>
        <vt:i4>5</vt:i4>
      </vt:variant>
      <vt:variant>
        <vt:lpwstr>https://www.nib.int/files/3483d84f48a1e0f46f61ce65b4fbe5a1a8db1f68/nib-sllb-framework.pdf</vt:lpwstr>
      </vt:variant>
      <vt:variant>
        <vt:lpwstr/>
      </vt:variant>
      <vt:variant>
        <vt:i4>393217</vt:i4>
      </vt:variant>
      <vt:variant>
        <vt:i4>99</vt:i4>
      </vt:variant>
      <vt:variant>
        <vt:i4>0</vt:i4>
      </vt:variant>
      <vt:variant>
        <vt:i4>5</vt:i4>
      </vt:variant>
      <vt:variant>
        <vt:lpwstr>https://www.nib.int/files/3483d84f48a1e0f46f61ce65b4fbe5a1a8db1f68/nib-sllb-framework.pdf</vt:lpwstr>
      </vt:variant>
      <vt:variant>
        <vt:lpwstr/>
      </vt:variant>
      <vt:variant>
        <vt:i4>393217</vt:i4>
      </vt:variant>
      <vt:variant>
        <vt:i4>96</vt:i4>
      </vt:variant>
      <vt:variant>
        <vt:i4>0</vt:i4>
      </vt:variant>
      <vt:variant>
        <vt:i4>5</vt:i4>
      </vt:variant>
      <vt:variant>
        <vt:lpwstr>https://www.nib.int/files/3483d84f48a1e0f46f61ce65b4fbe5a1a8db1f68/nib-sllb-framework.pdf</vt:lpwstr>
      </vt:variant>
      <vt:variant>
        <vt:lpwstr/>
      </vt:variant>
      <vt:variant>
        <vt:i4>3276904</vt:i4>
      </vt:variant>
      <vt:variant>
        <vt:i4>93</vt:i4>
      </vt:variant>
      <vt:variant>
        <vt:i4>0</vt:i4>
      </vt:variant>
      <vt:variant>
        <vt:i4>5</vt:i4>
      </vt:variant>
      <vt:variant>
        <vt:lpwstr>https://www.nib.int/files/c0c05a980fd3a12a4fb6c882b2ac21da96b44f6f/nib-climate-strategy.pdf</vt:lpwstr>
      </vt:variant>
      <vt:variant>
        <vt:lpwstr/>
      </vt:variant>
      <vt:variant>
        <vt:i4>2293794</vt:i4>
      </vt:variant>
      <vt:variant>
        <vt:i4>90</vt:i4>
      </vt:variant>
      <vt:variant>
        <vt:i4>0</vt:i4>
      </vt:variant>
      <vt:variant>
        <vt:i4>5</vt:i4>
      </vt:variant>
      <vt:variant>
        <vt:lpwstr>https://www.nib.int/files/99b3f23c49cad995f8c07225358236424b1a5643/nib-mrf-summary-20250909.pdf</vt:lpwstr>
      </vt:variant>
      <vt:variant>
        <vt:lpwstr/>
      </vt:variant>
      <vt:variant>
        <vt:i4>5701649</vt:i4>
      </vt:variant>
      <vt:variant>
        <vt:i4>87</vt:i4>
      </vt:variant>
      <vt:variant>
        <vt:i4>0</vt:i4>
      </vt:variant>
      <vt:variant>
        <vt:i4>5</vt:i4>
      </vt:variant>
      <vt:variant>
        <vt:lpwstr>https://www.nib.int/files/c85a91d959f174c19c7c6ecb8cf59da9fb3f7867/nib-sustainability-policy-2025.pdf</vt:lpwstr>
      </vt:variant>
      <vt:variant>
        <vt:lpwstr/>
      </vt:variant>
      <vt:variant>
        <vt:i4>5701649</vt:i4>
      </vt:variant>
      <vt:variant>
        <vt:i4>84</vt:i4>
      </vt:variant>
      <vt:variant>
        <vt:i4>0</vt:i4>
      </vt:variant>
      <vt:variant>
        <vt:i4>5</vt:i4>
      </vt:variant>
      <vt:variant>
        <vt:lpwstr>https://www.nib.int/files/c85a91d959f174c19c7c6ecb8cf59da9fb3f7867/nib-sustainability-policy-2025.pdf</vt:lpwstr>
      </vt:variant>
      <vt:variant>
        <vt:lpwstr/>
      </vt:variant>
      <vt:variant>
        <vt:i4>393217</vt:i4>
      </vt:variant>
      <vt:variant>
        <vt:i4>81</vt:i4>
      </vt:variant>
      <vt:variant>
        <vt:i4>0</vt:i4>
      </vt:variant>
      <vt:variant>
        <vt:i4>5</vt:i4>
      </vt:variant>
      <vt:variant>
        <vt:lpwstr>https://www.nib.int/files/3483d84f48a1e0f46f61ce65b4fbe5a1a8db1f68/nib-sllb-framework.pdf</vt:lpwstr>
      </vt:variant>
      <vt:variant>
        <vt:lpwstr/>
      </vt:variant>
      <vt:variant>
        <vt:i4>5701649</vt:i4>
      </vt:variant>
      <vt:variant>
        <vt:i4>78</vt:i4>
      </vt:variant>
      <vt:variant>
        <vt:i4>0</vt:i4>
      </vt:variant>
      <vt:variant>
        <vt:i4>5</vt:i4>
      </vt:variant>
      <vt:variant>
        <vt:lpwstr>https://www.nib.int/files/c85a91d959f174c19c7c6ecb8cf59da9fb3f7867/nib-sustainability-policy-2025.pdf</vt:lpwstr>
      </vt:variant>
      <vt:variant>
        <vt:lpwstr/>
      </vt:variant>
      <vt:variant>
        <vt:i4>5963849</vt:i4>
      </vt:variant>
      <vt:variant>
        <vt:i4>75</vt:i4>
      </vt:variant>
      <vt:variant>
        <vt:i4>0</vt:i4>
      </vt:variant>
      <vt:variant>
        <vt:i4>5</vt:i4>
      </vt:variant>
      <vt:variant>
        <vt:lpwstr>https://www.nib.int/files/fb2a3c91b57e2de5286d5cd3fc2bb06c14a3b70f/nib-finalreport-10sept2025.pdf</vt:lpwstr>
      </vt:variant>
      <vt:variant>
        <vt:lpwstr/>
      </vt:variant>
      <vt:variant>
        <vt:i4>393217</vt:i4>
      </vt:variant>
      <vt:variant>
        <vt:i4>72</vt:i4>
      </vt:variant>
      <vt:variant>
        <vt:i4>0</vt:i4>
      </vt:variant>
      <vt:variant>
        <vt:i4>5</vt:i4>
      </vt:variant>
      <vt:variant>
        <vt:lpwstr>https://www.nib.int/files/3483d84f48a1e0f46f61ce65b4fbe5a1a8db1f68/nib-sllb-framework.pdf</vt:lpwstr>
      </vt:variant>
      <vt:variant>
        <vt:lpwstr/>
      </vt:variant>
      <vt:variant>
        <vt:i4>393217</vt:i4>
      </vt:variant>
      <vt:variant>
        <vt:i4>69</vt:i4>
      </vt:variant>
      <vt:variant>
        <vt:i4>0</vt:i4>
      </vt:variant>
      <vt:variant>
        <vt:i4>5</vt:i4>
      </vt:variant>
      <vt:variant>
        <vt:lpwstr>https://www.nib.int/files/3483d84f48a1e0f46f61ce65b4fbe5a1a8db1f68/nib-sllb-framework.pdf</vt:lpwstr>
      </vt:variant>
      <vt:variant>
        <vt:lpwstr/>
      </vt:variant>
      <vt:variant>
        <vt:i4>393217</vt:i4>
      </vt:variant>
      <vt:variant>
        <vt:i4>66</vt:i4>
      </vt:variant>
      <vt:variant>
        <vt:i4>0</vt:i4>
      </vt:variant>
      <vt:variant>
        <vt:i4>5</vt:i4>
      </vt:variant>
      <vt:variant>
        <vt:lpwstr>https://www.nib.int/files/3483d84f48a1e0f46f61ce65b4fbe5a1a8db1f68/nib-sllb-framework.pdf</vt:lpwstr>
      </vt:variant>
      <vt:variant>
        <vt:lpwstr/>
      </vt:variant>
      <vt:variant>
        <vt:i4>4194399</vt:i4>
      </vt:variant>
      <vt:variant>
        <vt:i4>63</vt:i4>
      </vt:variant>
      <vt:variant>
        <vt:i4>0</vt:i4>
      </vt:variant>
      <vt:variant>
        <vt:i4>5</vt:i4>
      </vt:variant>
      <vt:variant>
        <vt:lpwstr>https://www.nib.int/investors/environmental-bonds</vt:lpwstr>
      </vt:variant>
      <vt:variant>
        <vt:lpwstr/>
      </vt:variant>
      <vt:variant>
        <vt:i4>3801186</vt:i4>
      </vt:variant>
      <vt:variant>
        <vt:i4>60</vt:i4>
      </vt:variant>
      <vt:variant>
        <vt:i4>0</vt:i4>
      </vt:variant>
      <vt:variant>
        <vt:i4>5</vt:i4>
      </vt:variant>
      <vt:variant>
        <vt:lpwstr>https://www.icmagroup.org/sustainable-finance/the-principles-guidelines-and-handbooks/sustainability-linked-loans-financing-bonds-guidelines-sllbg/</vt:lpwstr>
      </vt:variant>
      <vt:variant>
        <vt:lpwstr/>
      </vt:variant>
      <vt:variant>
        <vt:i4>393217</vt:i4>
      </vt:variant>
      <vt:variant>
        <vt:i4>57</vt:i4>
      </vt:variant>
      <vt:variant>
        <vt:i4>0</vt:i4>
      </vt:variant>
      <vt:variant>
        <vt:i4>5</vt:i4>
      </vt:variant>
      <vt:variant>
        <vt:lpwstr>https://www.nib.int/files/3483d84f48a1e0f46f61ce65b4fbe5a1a8db1f68/nib-sllb-framework.pdf</vt:lpwstr>
      </vt:variant>
      <vt:variant>
        <vt:lpwstr/>
      </vt:variant>
      <vt:variant>
        <vt:i4>1507391</vt:i4>
      </vt:variant>
      <vt:variant>
        <vt:i4>50</vt:i4>
      </vt:variant>
      <vt:variant>
        <vt:i4>0</vt:i4>
      </vt:variant>
      <vt:variant>
        <vt:i4>5</vt:i4>
      </vt:variant>
      <vt:variant>
        <vt:lpwstr/>
      </vt:variant>
      <vt:variant>
        <vt:lpwstr>_Toc209168293</vt:lpwstr>
      </vt:variant>
      <vt:variant>
        <vt:i4>1507391</vt:i4>
      </vt:variant>
      <vt:variant>
        <vt:i4>44</vt:i4>
      </vt:variant>
      <vt:variant>
        <vt:i4>0</vt:i4>
      </vt:variant>
      <vt:variant>
        <vt:i4>5</vt:i4>
      </vt:variant>
      <vt:variant>
        <vt:lpwstr/>
      </vt:variant>
      <vt:variant>
        <vt:lpwstr>_Toc209168292</vt:lpwstr>
      </vt:variant>
      <vt:variant>
        <vt:i4>1507391</vt:i4>
      </vt:variant>
      <vt:variant>
        <vt:i4>38</vt:i4>
      </vt:variant>
      <vt:variant>
        <vt:i4>0</vt:i4>
      </vt:variant>
      <vt:variant>
        <vt:i4>5</vt:i4>
      </vt:variant>
      <vt:variant>
        <vt:lpwstr/>
      </vt:variant>
      <vt:variant>
        <vt:lpwstr>_Toc209168291</vt:lpwstr>
      </vt:variant>
      <vt:variant>
        <vt:i4>1507391</vt:i4>
      </vt:variant>
      <vt:variant>
        <vt:i4>32</vt:i4>
      </vt:variant>
      <vt:variant>
        <vt:i4>0</vt:i4>
      </vt:variant>
      <vt:variant>
        <vt:i4>5</vt:i4>
      </vt:variant>
      <vt:variant>
        <vt:lpwstr/>
      </vt:variant>
      <vt:variant>
        <vt:lpwstr>_Toc209168290</vt:lpwstr>
      </vt:variant>
      <vt:variant>
        <vt:i4>1441855</vt:i4>
      </vt:variant>
      <vt:variant>
        <vt:i4>26</vt:i4>
      </vt:variant>
      <vt:variant>
        <vt:i4>0</vt:i4>
      </vt:variant>
      <vt:variant>
        <vt:i4>5</vt:i4>
      </vt:variant>
      <vt:variant>
        <vt:lpwstr/>
      </vt:variant>
      <vt:variant>
        <vt:lpwstr>_Toc209168289</vt:lpwstr>
      </vt:variant>
      <vt:variant>
        <vt:i4>1441855</vt:i4>
      </vt:variant>
      <vt:variant>
        <vt:i4>20</vt:i4>
      </vt:variant>
      <vt:variant>
        <vt:i4>0</vt:i4>
      </vt:variant>
      <vt:variant>
        <vt:i4>5</vt:i4>
      </vt:variant>
      <vt:variant>
        <vt:lpwstr/>
      </vt:variant>
      <vt:variant>
        <vt:lpwstr>_Toc209168288</vt:lpwstr>
      </vt:variant>
      <vt:variant>
        <vt:i4>1441855</vt:i4>
      </vt:variant>
      <vt:variant>
        <vt:i4>14</vt:i4>
      </vt:variant>
      <vt:variant>
        <vt:i4>0</vt:i4>
      </vt:variant>
      <vt:variant>
        <vt:i4>5</vt:i4>
      </vt:variant>
      <vt:variant>
        <vt:lpwstr/>
      </vt:variant>
      <vt:variant>
        <vt:lpwstr>_Toc209168287</vt:lpwstr>
      </vt:variant>
      <vt:variant>
        <vt:i4>1441855</vt:i4>
      </vt:variant>
      <vt:variant>
        <vt:i4>8</vt:i4>
      </vt:variant>
      <vt:variant>
        <vt:i4>0</vt:i4>
      </vt:variant>
      <vt:variant>
        <vt:i4>5</vt:i4>
      </vt:variant>
      <vt:variant>
        <vt:lpwstr/>
      </vt:variant>
      <vt:variant>
        <vt:lpwstr>_Toc209168286</vt:lpwstr>
      </vt:variant>
      <vt:variant>
        <vt:i4>1441855</vt:i4>
      </vt:variant>
      <vt:variant>
        <vt:i4>2</vt:i4>
      </vt:variant>
      <vt:variant>
        <vt:i4>0</vt:i4>
      </vt:variant>
      <vt:variant>
        <vt:i4>5</vt:i4>
      </vt:variant>
      <vt:variant>
        <vt:lpwstr/>
      </vt:variant>
      <vt:variant>
        <vt:lpwstr>_Toc209168285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Willis, Isabella Frenning</dc:creator>
  <cp:keywords/>
  <dc:description/>
  <cp:lastModifiedBy>Krukle Zanda</cp:lastModifiedBy>
  <cp:revision>351</cp:revision>
  <dcterms:created xsi:type="dcterms:W3CDTF">2025-09-10T11:44:00Z</dcterms:created>
  <dcterms:modified xsi:type="dcterms:W3CDTF">2025-09-19T07:07:00Z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00b7bbd-7ade-49ce-aa5e-23220b76cd08_Enabled">
    <vt:lpwstr>true</vt:lpwstr>
  </property>
  <property fmtid="{D5CDD505-2E9C-101B-9397-08002B2CF9AE}" pid="3" name="MSIP_Label_400b7bbd-7ade-49ce-aa5e-23220b76cd08_SetDate">
    <vt:lpwstr>2025-08-28T13:11:40Z</vt:lpwstr>
  </property>
  <property fmtid="{D5CDD505-2E9C-101B-9397-08002B2CF9AE}" pid="4" name="MSIP_Label_400b7bbd-7ade-49ce-aa5e-23220b76cd08_Method">
    <vt:lpwstr>Privileged</vt:lpwstr>
  </property>
  <property fmtid="{D5CDD505-2E9C-101B-9397-08002B2CF9AE}" pid="5" name="MSIP_Label_400b7bbd-7ade-49ce-aa5e-23220b76cd08_Name">
    <vt:lpwstr>Confidential</vt:lpwstr>
  </property>
  <property fmtid="{D5CDD505-2E9C-101B-9397-08002B2CF9AE}" pid="6" name="MSIP_Label_400b7bbd-7ade-49ce-aa5e-23220b76cd08_SiteId">
    <vt:lpwstr>8beccd60-0be6-4025-8e24-ca9ae679e1f4</vt:lpwstr>
  </property>
  <property fmtid="{D5CDD505-2E9C-101B-9397-08002B2CF9AE}" pid="7" name="MSIP_Label_400b7bbd-7ade-49ce-aa5e-23220b76cd08_ActionId">
    <vt:lpwstr>a156f43b-5d2f-40e2-abd1-46a90b957c50</vt:lpwstr>
  </property>
  <property fmtid="{D5CDD505-2E9C-101B-9397-08002B2CF9AE}" pid="8" name="MSIP_Label_400b7bbd-7ade-49ce-aa5e-23220b76cd08_ContentBits">
    <vt:lpwstr>2</vt:lpwstr>
  </property>
  <property fmtid="{D5CDD505-2E9C-101B-9397-08002B2CF9AE}" pid="9" name="MSIP_Label_400b7bbd-7ade-49ce-aa5e-23220b76cd08_Tag">
    <vt:lpwstr>10, 0, 1, 1</vt:lpwstr>
  </property>
  <property fmtid="{D5CDD505-2E9C-101B-9397-08002B2CF9AE}" pid="10" name="ContentTypeId">
    <vt:lpwstr>0x010100E38787D431664E4690AA435ED4E6F3D3</vt:lpwstr>
  </property>
  <property fmtid="{D5CDD505-2E9C-101B-9397-08002B2CF9AE}" pid="11" name="MediaServiceImageTags">
    <vt:lpwstr/>
  </property>
  <property fmtid="{D5CDD505-2E9C-101B-9397-08002B2CF9AE}" pid="12" name="PSLTemplateName">
    <vt:lpwstr>Normal</vt:lpwstr>
  </property>
  <property fmtid="{D5CDD505-2E9C-101B-9397-08002B2CF9AE}" pid="13" name="ClassificationContentMarkingHeaderShapeIds">
    <vt:lpwstr>1753b16f,369d4ee0,328d7347</vt:lpwstr>
  </property>
  <property fmtid="{D5CDD505-2E9C-101B-9397-08002B2CF9AE}" pid="14" name="ClassificationContentMarkingHeaderFontProps">
    <vt:lpwstr>#0000ff,10,Aptos</vt:lpwstr>
  </property>
  <property fmtid="{D5CDD505-2E9C-101B-9397-08002B2CF9AE}" pid="15" name="ClassificationContentMarkingHeaderText">
    <vt:lpwstr>NIB Internal use</vt:lpwstr>
  </property>
  <property fmtid="{D5CDD505-2E9C-101B-9397-08002B2CF9AE}" pid="16" name="docLang">
    <vt:lpwstr>en</vt:lpwstr>
  </property>
</Properties>
</file>